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5" w:history="1">
        <w:r w:rsidRPr="00BE7F7B">
          <w:rPr>
            <w:rFonts w:ascii="Tahoma" w:eastAsia="Times New Roman" w:hAnsi="Tahoma" w:cs="Tahoma"/>
            <w:color w:val="7A7A7A"/>
            <w:sz w:val="18"/>
            <w:u w:val="single"/>
          </w:rPr>
          <w:t>методические рекомендации</w:t>
        </w:r>
      </w:hyperlink>
      <w:r w:rsidRPr="00BE7F7B">
        <w:rPr>
          <w:rFonts w:ascii="Tahoma" w:eastAsia="Times New Roman" w:hAnsi="Tahoma" w:cs="Tahoma"/>
          <w:color w:val="868686"/>
          <w:sz w:val="18"/>
          <w:szCs w:val="18"/>
        </w:rPr>
        <w:t> и другие инструктивно-методические материалы по данным вопросам.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утвержденными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I. Представление сведений о доходах, расходах,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об имуществе и обязательствах имущественного характера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Лица, обязанные представлять сведения о доходах, расходах, об имуществе и обязательствах имущественного характера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w:t>
      </w:r>
      <w:r w:rsidRPr="00BE7F7B">
        <w:rPr>
          <w:rFonts w:ascii="Tahoma" w:eastAsia="Times New Roman" w:hAnsi="Tahoma" w:cs="Tahoma"/>
          <w:color w:val="868686"/>
          <w:sz w:val="18"/>
          <w:szCs w:val="18"/>
        </w:rPr>
        <w:lastRenderedPageBreak/>
        <w:t>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 государственными и муниципальными служащими, замещающими должности, включенные в </w:t>
      </w:r>
      <w:hyperlink r:id="rId6" w:history="1">
        <w:r w:rsidRPr="00BE7F7B">
          <w:rPr>
            <w:rFonts w:ascii="Tahoma" w:eastAsia="Times New Roman" w:hAnsi="Tahoma" w:cs="Tahoma"/>
            <w:color w:val="7A7A7A"/>
            <w:sz w:val="18"/>
            <w:u w:val="single"/>
          </w:rPr>
          <w:t>перечни</w:t>
        </w:r>
      </w:hyperlink>
      <w:r w:rsidRPr="00BE7F7B">
        <w:rPr>
          <w:rFonts w:ascii="Tahoma" w:eastAsia="Times New Roman" w:hAnsi="Tahoma" w:cs="Tahoma"/>
          <w:color w:val="868686"/>
          <w:sz w:val="18"/>
          <w:szCs w:val="18"/>
        </w:rPr>
        <w:t>, утвержденные нормативными правовыми актами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history="1">
        <w:r w:rsidRPr="00BE7F7B">
          <w:rPr>
            <w:rFonts w:ascii="Tahoma" w:eastAsia="Times New Roman" w:hAnsi="Tahoma" w:cs="Tahoma"/>
            <w:color w:val="7A7A7A"/>
            <w:sz w:val="18"/>
            <w:u w:val="single"/>
          </w:rPr>
          <w:t>перечень</w:t>
        </w:r>
      </w:hyperlink>
      <w:r w:rsidRPr="00BE7F7B">
        <w:rPr>
          <w:rFonts w:ascii="Tahoma" w:eastAsia="Times New Roman" w:hAnsi="Tahoma" w:cs="Tahoma"/>
          <w:color w:val="868686"/>
          <w:sz w:val="18"/>
          <w:szCs w:val="18"/>
        </w:rPr>
        <w:t>, утвержденный Советом директоров Центрального банка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history="1">
        <w:r w:rsidRPr="00BE7F7B">
          <w:rPr>
            <w:rFonts w:ascii="Tahoma" w:eastAsia="Times New Roman" w:hAnsi="Tahoma" w:cs="Tahoma"/>
            <w:color w:val="7A7A7A"/>
            <w:sz w:val="18"/>
            <w:u w:val="single"/>
          </w:rPr>
          <w:t>перечни</w:t>
        </w:r>
      </w:hyperlink>
      <w:r w:rsidRPr="00BE7F7B">
        <w:rPr>
          <w:rFonts w:ascii="Tahoma" w:eastAsia="Times New Roman" w:hAnsi="Tahoma" w:cs="Tahoma"/>
          <w:color w:val="868686"/>
          <w:sz w:val="18"/>
          <w:szCs w:val="18"/>
        </w:rPr>
        <w:t>, утвержденные федеральными государственными органами;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8)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9) иными лицами в соответствии с законодательством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государственной должности Российской Федерации, государственной должности субъекта Российской Федерации, муниципальной должности;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любой должности государственной службы (поступающим на службу);</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 должности муниципальной службы, включенной в перечни, утвержденные нормативными правовыми актами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 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sidRPr="00BE7F7B">
          <w:rPr>
            <w:rFonts w:ascii="Tahoma" w:eastAsia="Times New Roman" w:hAnsi="Tahoma" w:cs="Tahoma"/>
            <w:color w:val="7A7A7A"/>
            <w:sz w:val="18"/>
            <w:u w:val="single"/>
          </w:rPr>
          <w:t>перечень</w:t>
        </w:r>
      </w:hyperlink>
      <w:r w:rsidRPr="00BE7F7B">
        <w:rPr>
          <w:rFonts w:ascii="Tahoma" w:eastAsia="Times New Roman" w:hAnsi="Tahoma" w:cs="Tahoma"/>
          <w:color w:val="868686"/>
          <w:sz w:val="18"/>
          <w:szCs w:val="18"/>
        </w:rPr>
        <w:t>, утвержденный Советом директоров Центрального банка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BE7F7B">
          <w:rPr>
            <w:rFonts w:ascii="Tahoma" w:eastAsia="Times New Roman" w:hAnsi="Tahoma" w:cs="Tahoma"/>
            <w:color w:val="7A7A7A"/>
            <w:sz w:val="18"/>
            <w:u w:val="single"/>
          </w:rPr>
          <w:t>перечни</w:t>
        </w:r>
      </w:hyperlink>
      <w:r w:rsidRPr="00BE7F7B">
        <w:rPr>
          <w:rFonts w:ascii="Tahoma" w:eastAsia="Times New Roman" w:hAnsi="Tahoma" w:cs="Tahoma"/>
          <w:color w:val="868686"/>
          <w:sz w:val="18"/>
          <w:szCs w:val="18"/>
        </w:rPr>
        <w:t>, утвержденные федеральными государственными органами;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8) должности финансового уполномоченного, руководителя службы обеспечения деятельности финансового уполномоченного;</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9) иных должностей в соответствии с законодательством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BE7F7B">
          <w:rPr>
            <w:rFonts w:ascii="Tahoma" w:eastAsia="Times New Roman" w:hAnsi="Tahoma" w:cs="Tahoma"/>
            <w:color w:val="7A7A7A"/>
            <w:sz w:val="18"/>
            <w:u w:val="single"/>
          </w:rPr>
          <w:t>перечнем</w:t>
        </w:r>
      </w:hyperlink>
      <w:r w:rsidRPr="00BE7F7B">
        <w:rPr>
          <w:rFonts w:ascii="Tahoma" w:eastAsia="Times New Roman" w:hAnsi="Tahoma" w:cs="Tahoma"/>
          <w:color w:val="868686"/>
          <w:sz w:val="18"/>
          <w:szCs w:val="18"/>
        </w:rPr>
        <w:t>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Обязательность представления сведений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xml:space="preserve">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w:t>
      </w:r>
      <w:r w:rsidRPr="00BE7F7B">
        <w:rPr>
          <w:rFonts w:ascii="Tahoma" w:eastAsia="Times New Roman" w:hAnsi="Tahoma" w:cs="Tahoma"/>
          <w:color w:val="868686"/>
          <w:sz w:val="18"/>
          <w:szCs w:val="18"/>
        </w:rPr>
        <w:lastRenderedPageBreak/>
        <w:t>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Сроки представления сведений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7. Служащие (работники) представляют сведения ежегодно в следующие сроки: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8. Сведения могут быть представлены служащим (работником) в любое время, начиная с 1 января года, следующего за отчетным.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Лица, в отношении которых представляются сведения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11. Сведения представляются отдельно:</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в отношении служащего (работника),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в отношении его супруги (супруга),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 в отношении каждого несовершеннолетнего ребенка служащего (работника).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12. </w:t>
      </w:r>
      <w:r w:rsidRPr="00BE7F7B">
        <w:rPr>
          <w:rFonts w:ascii="Tahoma" w:eastAsia="Times New Roman" w:hAnsi="Tahoma" w:cs="Tahoma"/>
          <w:b/>
          <w:bCs/>
          <w:color w:val="868686"/>
          <w:sz w:val="18"/>
        </w:rPr>
        <w:t>Отчетный период и отчетная дата представления сведений</w:t>
      </w:r>
      <w:r w:rsidRPr="00BE7F7B">
        <w:rPr>
          <w:rFonts w:ascii="Tahoma" w:eastAsia="Times New Roman" w:hAnsi="Tahoma" w:cs="Tahoma"/>
          <w:color w:val="868686"/>
          <w:sz w:val="18"/>
          <w:szCs w:val="18"/>
        </w:rPr>
        <w:t>, установленные для граждан и служащих (работников), различны: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гражданин представляет:</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служащий (работник) представляет ежегодно:</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Замещение конкретной должности на отчетную дату как основание для представления сведений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замещаемая им должность была включена в соответствующий перечень должностей, а сам служащий (работник) замещал указанную должность;</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15. Представление сведений после увольнения служащего (работника) в период с 1 января по 1 (30) апреля 2020 г. не требуется.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Определение круга лиц (членов семьи), в отношении которых необходимо представить сведения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Супруги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18.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19.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Перечень ситуаций и рекомендуемые действия (таблица № 1):</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7F7F7"/>
        <w:tblCellMar>
          <w:top w:w="15" w:type="dxa"/>
          <w:left w:w="15" w:type="dxa"/>
          <w:bottom w:w="15" w:type="dxa"/>
          <w:right w:w="15" w:type="dxa"/>
        </w:tblCellMar>
        <w:tblLook w:val="04A0"/>
      </w:tblPr>
      <w:tblGrid>
        <w:gridCol w:w="3653"/>
        <w:gridCol w:w="5822"/>
      </w:tblGrid>
      <w:tr w:rsidR="00BE7F7B" w:rsidRPr="00BE7F7B" w:rsidTr="00BE7F7B">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Пример: служащий (работник) представляет сведения в 2020 году</w:t>
            </w:r>
            <w:r w:rsidRPr="00BE7F7B">
              <w:rPr>
                <w:rFonts w:ascii="Tahoma" w:eastAsia="Times New Roman" w:hAnsi="Tahoma" w:cs="Tahoma"/>
                <w:color w:val="868686"/>
                <w:sz w:val="18"/>
                <w:szCs w:val="18"/>
              </w:rPr>
              <w:br/>
              <w:t>(за отчетный 2019 г.)</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Брак заключен в органах записи актов гражданского состояния (далее – ЗАГС) в ноябре 2019 года</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Брак заключен в ЗАГСе в марте 2020 года</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в отношении супруги (супруга) не представляются, поскольку по состоянию на отчетную дату (31 декабря 2019 года) служащий (работник) не состоял в браке</w:t>
            </w:r>
          </w:p>
        </w:tc>
      </w:tr>
      <w:tr w:rsidR="00BE7F7B" w:rsidRPr="00BE7F7B" w:rsidTr="00BE7F7B">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 xml:space="preserve">Пример: гражданин в сентябре 2020 года представляет сведения в связи с подачей документов для </w:t>
            </w:r>
            <w:r w:rsidRPr="00BE7F7B">
              <w:rPr>
                <w:rFonts w:ascii="Tahoma" w:eastAsia="Times New Roman" w:hAnsi="Tahoma" w:cs="Tahoma"/>
                <w:color w:val="868686"/>
                <w:sz w:val="18"/>
                <w:szCs w:val="18"/>
              </w:rPr>
              <w:lastRenderedPageBreak/>
              <w:t>назначения на должность. Отчетной датой является 1 августа 2020 года</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Брак заключен 1 февраля 2020 года</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в отношении супруги представляются, поскольку по состоянию на отчетную дату (1 августа 2020 года) гражданин состоял в браке</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Брак заключен 2 августа 2020 года</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20.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Перечень ситуаций и рекомендуемые действия (таблица № 2)</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7F7F7"/>
        <w:tblCellMar>
          <w:top w:w="15" w:type="dxa"/>
          <w:left w:w="15" w:type="dxa"/>
          <w:bottom w:w="15" w:type="dxa"/>
          <w:right w:w="15" w:type="dxa"/>
        </w:tblCellMar>
        <w:tblLook w:val="04A0"/>
      </w:tblPr>
      <w:tblGrid>
        <w:gridCol w:w="3051"/>
        <w:gridCol w:w="6424"/>
      </w:tblGrid>
      <w:tr w:rsidR="00BE7F7B" w:rsidRPr="00BE7F7B" w:rsidTr="00BE7F7B">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Пример: служащий (работник) представляет сведения в 2020 году (за отчетный 2019 г.)</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Брак был расторгнут в ЗАГСе в ноябре 2019 года</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Окончательное решение о расторжении брака было принято судом 12 декабря 2019 года и вступило в законную силу 12 января 2020 года</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Брак был расторгнут в ЗАГСе в марте 2020 года</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в отношении бывшей супруги представляются, поскольку по состоянию на отчетную дату (31 декабря 2019 года) служащий (работник) состоял в браке</w:t>
            </w:r>
          </w:p>
        </w:tc>
      </w:tr>
      <w:tr w:rsidR="00BE7F7B" w:rsidRPr="00BE7F7B" w:rsidTr="00BE7F7B">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Брак был расторгнут в ЗАГСе 1 июля 2020 года</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Брак был расторгнут в ЗАГСе 2 августа 2020 года</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Окончательное решение о расторжении брака было принято судом 4 июля 2020 года и вступило в законную силу 4 августа 2020 г.</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Несовершеннолетние дети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21.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Перечень ситуаций и рекомендуемые действия (таблица № 3):</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7F7F7"/>
        <w:tblCellMar>
          <w:top w:w="15" w:type="dxa"/>
          <w:left w:w="15" w:type="dxa"/>
          <w:bottom w:w="15" w:type="dxa"/>
          <w:right w:w="15" w:type="dxa"/>
        </w:tblCellMar>
        <w:tblLook w:val="04A0"/>
      </w:tblPr>
      <w:tblGrid>
        <w:gridCol w:w="2290"/>
        <w:gridCol w:w="7185"/>
      </w:tblGrid>
      <w:tr w:rsidR="00BE7F7B" w:rsidRPr="00BE7F7B" w:rsidTr="00BE7F7B">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Пример: служащий (работник) представляет сведения в 2020 году (за отчетный 2019 г.)</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Дочери служащего (работника) 21 мая 2019 года исполнилось 18 лет</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 xml:space="preserve">Дочери служащего (работника) 30 декабря </w:t>
            </w:r>
            <w:r w:rsidRPr="00BE7F7B">
              <w:rPr>
                <w:rFonts w:ascii="Tahoma" w:eastAsia="Times New Roman" w:hAnsi="Tahoma" w:cs="Tahoma"/>
                <w:color w:val="868686"/>
                <w:sz w:val="18"/>
                <w:szCs w:val="18"/>
              </w:rPr>
              <w:lastRenderedPageBreak/>
              <w:t>2019 года исполнилось 18 лет</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 xml:space="preserve">сведения в отношении дочери не представляются, поскольку по состоянию на отчетную дату (31 декабря 2019 года) дочери служащего (работника) уже </w:t>
            </w:r>
            <w:r w:rsidRPr="00BE7F7B">
              <w:rPr>
                <w:rFonts w:ascii="Tahoma" w:eastAsia="Times New Roman" w:hAnsi="Tahoma" w:cs="Tahoma"/>
                <w:color w:val="868686"/>
                <w:sz w:val="18"/>
                <w:szCs w:val="18"/>
              </w:rPr>
              <w:lastRenderedPageBreak/>
              <w:t>исполнилось 18 лет, она являлась совершеннолетней</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Дочери служащего (работника) 31 декабря 2019 года исполнилось 18 лет</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rsidR="00BE7F7B" w:rsidRPr="00BE7F7B" w:rsidTr="00BE7F7B">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Пример: гражданин представляет в сентябре 2020 года сведения в связи с назначением на должность. Отчетной датой является 1 августа 2020 года</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Сыну гражданина 5 мая 2020 года исполнилось 18 лет</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Сыну гражданина 1 августа 2020 года исполнилось 18 лет</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Сыну гражданина 17 августа 2020 года исполнилось 18 лет</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в отношении сына представляются, поскольку по состоянию на отчетную дату (1 августа 2020 года) сын гражданина являлся несовершеннолетним</w:t>
            </w:r>
          </w:p>
        </w:tc>
      </w:tr>
    </w:tbl>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Уточнение представленных сведений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Рекомендуемые действия при невозможности представить сведения в отношении члена семьи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2017 г. №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30. Заявление должно быть направлено до истечения срока, установленного для представления служащим (работником) сведений.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Заявление подается (таблица № 4):</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7F7F7"/>
        <w:tblCellMar>
          <w:top w:w="15" w:type="dxa"/>
          <w:left w:w="15" w:type="dxa"/>
          <w:bottom w:w="15" w:type="dxa"/>
          <w:right w:w="15" w:type="dxa"/>
        </w:tblCellMar>
        <w:tblLook w:val="04A0"/>
      </w:tblPr>
      <w:tblGrid>
        <w:gridCol w:w="4829"/>
        <w:gridCol w:w="4646"/>
      </w:tblGrid>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В Управление Президента Российской Федерации 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В Департамент государственной службы и кадров 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В подразделение кадровой службы федерального государственного органа по профилактике коррупционных и иных правонарушений</w:t>
            </w:r>
          </w:p>
          <w:p w:rsidR="00BE7F7B" w:rsidRPr="00BE7F7B" w:rsidRDefault="00BE7F7B" w:rsidP="00BE7F7B">
            <w:pPr>
              <w:spacing w:before="75" w:after="75"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В подразделение по профилактике коррупционных и иных правонарушений Центрального банка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лицами, занимающими должности, включенные в перечень, утвержденный Советом директоров Центрального банка Российской Федерации</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31. Для служащих (работников) право направить заявление о невозможности представить сведения о </w:t>
      </w:r>
      <w:r w:rsidRPr="00BE7F7B">
        <w:rPr>
          <w:rFonts w:ascii="Tahoma" w:eastAsia="Times New Roman" w:hAnsi="Tahoma" w:cs="Tahoma"/>
          <w:b/>
          <w:bCs/>
          <w:color w:val="868686"/>
          <w:sz w:val="18"/>
        </w:rPr>
        <w:t>своих</w:t>
      </w:r>
      <w:r w:rsidRPr="00BE7F7B">
        <w:rPr>
          <w:rFonts w:ascii="Tahoma" w:eastAsia="Times New Roman" w:hAnsi="Tahoma" w:cs="Tahoma"/>
          <w:color w:val="868686"/>
          <w:sz w:val="18"/>
          <w:szCs w:val="18"/>
        </w:rPr>
        <w:t> доходах, расходах, об имуществе и обязательствах имущественного характера законодательством не предусмотрено.</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32.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II. Заполнение справки о доходах, расходах, об имуществе и обязательствах имущественного характера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33. 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34.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36. СПО «Справки БК» размещено на официальном сайте Президента Российской Федерации по ссылке: </w:t>
      </w:r>
      <w:hyperlink r:id="rId12" w:history="1">
        <w:r w:rsidRPr="00BE7F7B">
          <w:rPr>
            <w:rFonts w:ascii="Tahoma" w:eastAsia="Times New Roman" w:hAnsi="Tahoma" w:cs="Tahoma"/>
            <w:color w:val="7A7A7A"/>
            <w:sz w:val="18"/>
            <w:u w:val="single"/>
          </w:rPr>
          <w:t>http://www.kremlin.ru/structure/additional/12</w:t>
        </w:r>
      </w:hyperlink>
      <w:r w:rsidRPr="00BE7F7B">
        <w:rPr>
          <w:rFonts w:ascii="Tahoma" w:eastAsia="Times New Roman" w:hAnsi="Tahoma" w:cs="Tahoma"/>
          <w:color w:val="868686"/>
          <w:sz w:val="18"/>
          <w:szCs w:val="18"/>
        </w:rPr>
        <w:t>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w:t>
      </w:r>
      <w:hyperlink r:id="rId13" w:history="1">
        <w:r w:rsidRPr="00BE7F7B">
          <w:rPr>
            <w:rFonts w:ascii="Tahoma" w:eastAsia="Times New Roman" w:hAnsi="Tahoma" w:cs="Tahoma"/>
            <w:color w:val="7A7A7A"/>
            <w:sz w:val="18"/>
            <w:u w:val="single"/>
          </w:rPr>
          <w:t>https://gossluzhba.gov.ru/page/index/spravki_bk</w:t>
        </w:r>
      </w:hyperlink>
      <w:r w:rsidRPr="00BE7F7B">
        <w:rPr>
          <w:rFonts w:ascii="Tahoma" w:eastAsia="Times New Roman" w:hAnsi="Tahoma" w:cs="Tahoma"/>
          <w:color w:val="868686"/>
          <w:sz w:val="18"/>
          <w:szCs w:val="18"/>
        </w:rPr>
        <w:t>.</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Одновременно необходимо не допускать ситуаций, при которых дата и время печати справки будут отличаться на листах справки.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для печати справок используется лазерный принтер, обеспечивающий качественную печать.</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не допускаются дефекты печати в виде полос, пятен (при дефектах барабана или картриджа принтера).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не допускается наличие подписи и пометок на линейных и двумерных штрих-кодах.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Кроме того, листы одной справки не следует менять или вставлять в другие справки, даже если они содержат идентичную информацию.</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Справки не рекомендуется прошивать и фиксировать скрепкой.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Также рекомендуется обеспечить печать справки и ее заверение в течение одного дня.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Печатать справки рекомендуется только на одной стороне листа.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ТИТУЛЬНЫЙ ЛИСТ</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38. При заполнении титульного листа справки рекомендуется обратить внимание на следующее: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дата рождения (год рождения) указывается в соответствии с записью в документе, удостоверяющем личность;</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При заполнении справки лицом, замещающим муниципальную должность на непостоянной основе, указывается муниципальная должность;</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Неуказание страхового номера индивидуального лицевого счета (СНИЛС) в справке, заполняемой с использованием СПО «Справки БК», не является нарушением.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РАЗДЕЛ 1. СВЕДЕНИЯ О ДОХОДАХ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39.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Доход по основному месту работы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40. В данной строке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Особенности заполнения данного раздела отдельными категориями лиц</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43.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Доход от педагогической и научной деятельности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45. 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Доход от иной творческой деятельности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47.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48.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Доход от вкладов в банках и иных кредитных организациях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49.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50.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51. Доход, полученный в иностранной валюте, указывается в рублях по курсу Банка России на дату получения дохода.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BE7F7B">
          <w:rPr>
            <w:rFonts w:ascii="Tahoma" w:eastAsia="Times New Roman" w:hAnsi="Tahoma" w:cs="Tahoma"/>
            <w:color w:val="7A7A7A"/>
            <w:sz w:val="18"/>
            <w:u w:val="single"/>
          </w:rPr>
          <w:t>http://www.cbr.ru/currency_base/daily.aspx</w:t>
        </w:r>
      </w:hyperlink>
      <w:r w:rsidRPr="00BE7F7B">
        <w:rPr>
          <w:rFonts w:ascii="Tahoma" w:eastAsia="Times New Roman" w:hAnsi="Tahoma" w:cs="Tahoma"/>
          <w:color w:val="868686"/>
          <w:sz w:val="18"/>
          <w:szCs w:val="18"/>
        </w:rPr>
        <w:t>.</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54. Не рекомендуется проводить какие-либо самостоятельные расчеты, поскольку вероятно возникновение различного рода ошибок.</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Доход от ценных бумаг и долей участия в коммерческих организациях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57.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w:t>
      </w:r>
      <w:r w:rsidRPr="00BE7F7B">
        <w:rPr>
          <w:rFonts w:ascii="Tahoma" w:eastAsia="Times New Roman" w:hAnsi="Tahoma" w:cs="Tahoma"/>
          <w:color w:val="868686"/>
          <w:sz w:val="18"/>
          <w:szCs w:val="18"/>
        </w:rPr>
        <w:lastRenderedPageBreak/>
        <w:t>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Иные доходы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58. В данной строке указываются доходы, которые не были отражены в строках 1-5 справки.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Так, например, в строке иные доходы могут быть указаны: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пенсия (при этом разные виды пенсий (по возрасту и пенсия военнослужащего) не следует суммировать);</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 стипендия;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11)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12) 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юридический адрес организации, от которой был получен доход;</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14) проценты по долговым обязательствам;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15) денежные средства, полученные в порядке дарения или наследования;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16) возмещение вреда, причиненного увечьем или иным повреждением здоровья;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17) выплаты, связанные с гибелью (смертью), выплаченные наследникам;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18) 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158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23) выигрыши в лотереях, тотализаторах, конкурсах и иных играх;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24) выплаты членам профсоюзных организаций, полученные от данных профсоюзных организаций;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26) вознаграждение, полученное при осуществлении опеки или попечительства на возмездной основе;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27) доход, полученный индивидуальным предпринимателем (указывается согласно бухгалтерской (финансовой) отчетности или в соответствии с пунктом 42 настоящих Методических рекомендаций);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29) денежные средства, полученные в качестве оплаты услуг или товаров;</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32) доход, полученный по договорам переуступки прав требования на строящиеся объекты недвижимости;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34) выплаченная ликвидационная стоимость ценных бумаг при ликвидации коммерческой организации;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35) денежные средства, полученные в связи с прощением долга служащему (работнику), его супруге (супругу) или несовершеннолетним детям;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36) иные аналогичные выплаты.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59.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60. С учетом целей антикоррупционного законодательства в строке 6 «Иные доходы» </w:t>
      </w:r>
      <w:r w:rsidRPr="00BE7F7B">
        <w:rPr>
          <w:rFonts w:ascii="Tahoma" w:eastAsia="Times New Roman" w:hAnsi="Tahoma" w:cs="Tahoma"/>
          <w:b/>
          <w:bCs/>
          <w:color w:val="868686"/>
          <w:sz w:val="18"/>
        </w:rPr>
        <w:t>не указываются</w:t>
      </w:r>
      <w:r w:rsidRPr="00BE7F7B">
        <w:rPr>
          <w:rFonts w:ascii="Tahoma" w:eastAsia="Times New Roman" w:hAnsi="Tahoma" w:cs="Tahoma"/>
          <w:color w:val="868686"/>
          <w:sz w:val="18"/>
          <w:szCs w:val="18"/>
        </w:rPr>
        <w:t>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со служебными командировками за счет средств работодателя;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 с оплатой стоимости и (или) выдачи полагающегося натурального довольствия, а также выплатой денежных средств взамен этого довольствия;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 с приобретением проездных документов для исполнения служебных (должностных) обязанностей;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 с оплатой коммунальных и иных услуг, наймом жилого помещения;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7) с внесением родительской платы за посещение дошкольного образовательного учреждения;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8) с оформлением нотариальной доверенности, почтовыми расходами, расходами на оплату услуг представителя (возмещаются по решению суда);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61. Также не указываются сведения о денежных средствах, полученных: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в виде социального, имущественного, инвестиционного налогового вычета;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от продажи различного вида подарочных сертификатов (карт), выпущенных предприятиями торговли;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(«кэшбэк сервис»);</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 в качестве возврата налога на добавленную стоимость, уплаченного при совершении покупок за границей, по чекам Tax-free;</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 в качестве вознаграждения донорам за сданную кровь, ее компонентов (и иную помощь);</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8) в качестве возмещения расходов на повышение профессионального уровня за счет средств представителя нанимателя (работодателя);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10) в качестве перевода (между супругами и (или) несовершеннолетними детьми (аналогично в части, касающейся наличных денежных средств);</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11) в связи с возвратом денежных средств по несостоявшемуся договору купли-продажи;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14) на специальный избирательный счет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62.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РАЗДЕЛ 2. СВЕДЕНИЯ О РАСХОДАХ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63. Данный раздел справки </w:t>
      </w:r>
      <w:r w:rsidRPr="00BE7F7B">
        <w:rPr>
          <w:rFonts w:ascii="Tahoma" w:eastAsia="Times New Roman" w:hAnsi="Tahoma" w:cs="Tahoma"/>
          <w:b/>
          <w:bCs/>
          <w:color w:val="868686"/>
          <w:sz w:val="18"/>
        </w:rPr>
        <w:t>заполняется только</w:t>
      </w:r>
      <w:r w:rsidRPr="00BE7F7B">
        <w:rPr>
          <w:rFonts w:ascii="Tahoma" w:eastAsia="Times New Roman" w:hAnsi="Tahoma" w:cs="Tahoma"/>
          <w:color w:val="868686"/>
          <w:sz w:val="18"/>
          <w:szCs w:val="18"/>
        </w:rPr>
        <w:t>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64. Данный раздел справки также подлежит заполнению при наличии обстоятельств, перечисленных в пункте 63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65. Граждане, поступающие на службу (работу), раздел «Сведения о расходах» не заполняют.</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66. Заполнение данного раздела при отсутствии указанных в пункте 63 настоящих Методических рекомендаций оснований не является нарушением.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67.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68. Для цели реализации пункта 63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70. Данный раздел </w:t>
      </w:r>
      <w:r w:rsidRPr="00BE7F7B">
        <w:rPr>
          <w:rFonts w:ascii="Tahoma" w:eastAsia="Times New Roman" w:hAnsi="Tahoma" w:cs="Tahoma"/>
          <w:b/>
          <w:bCs/>
          <w:color w:val="868686"/>
          <w:sz w:val="18"/>
        </w:rPr>
        <w:t>не заполняется</w:t>
      </w:r>
      <w:r w:rsidRPr="00BE7F7B">
        <w:rPr>
          <w:rFonts w:ascii="Tahoma" w:eastAsia="Times New Roman" w:hAnsi="Tahoma" w:cs="Tahoma"/>
          <w:color w:val="868686"/>
          <w:sz w:val="18"/>
          <w:szCs w:val="18"/>
        </w:rPr>
        <w:t> в следующих случаях: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71. При заполнении графы «</w:t>
      </w:r>
      <w:r w:rsidRPr="00BE7F7B">
        <w:rPr>
          <w:rFonts w:ascii="Tahoma" w:eastAsia="Times New Roman" w:hAnsi="Tahoma" w:cs="Tahoma"/>
          <w:b/>
          <w:bCs/>
          <w:color w:val="868686"/>
          <w:sz w:val="18"/>
        </w:rPr>
        <w:t>Вид приобретенного имущества</w:t>
      </w:r>
      <w:r w:rsidRPr="00BE7F7B">
        <w:rPr>
          <w:rFonts w:ascii="Tahoma" w:eastAsia="Times New Roman" w:hAnsi="Tahoma" w:cs="Tahoma"/>
          <w:color w:val="868686"/>
          <w:sz w:val="18"/>
          <w:szCs w:val="18"/>
        </w:rPr>
        <w:t>»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72. При заполнении графы «</w:t>
      </w:r>
      <w:r w:rsidRPr="00BE7F7B">
        <w:rPr>
          <w:rFonts w:ascii="Tahoma" w:eastAsia="Times New Roman" w:hAnsi="Tahoma" w:cs="Tahoma"/>
          <w:b/>
          <w:bCs/>
          <w:color w:val="868686"/>
          <w:sz w:val="18"/>
        </w:rPr>
        <w:t>Источник получения средств, за счет которых приобретено имущество</w:t>
      </w:r>
      <w:r w:rsidRPr="00BE7F7B">
        <w:rPr>
          <w:rFonts w:ascii="Tahoma" w:eastAsia="Times New Roman" w:hAnsi="Tahoma" w:cs="Tahoma"/>
          <w:color w:val="868686"/>
          <w:sz w:val="18"/>
          <w:szCs w:val="18"/>
        </w:rPr>
        <w:t>» следует указывать наименование источника получения средств и размер полученного дохода по каждому из источников.</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73.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74.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75. В графе </w:t>
      </w:r>
      <w:r w:rsidRPr="00BE7F7B">
        <w:rPr>
          <w:rFonts w:ascii="Tahoma" w:eastAsia="Times New Roman" w:hAnsi="Tahoma" w:cs="Tahoma"/>
          <w:b/>
          <w:bCs/>
          <w:color w:val="868686"/>
          <w:sz w:val="18"/>
        </w:rPr>
        <w:t>«Основания приобретения имущества»</w:t>
      </w:r>
      <w:r w:rsidRPr="00BE7F7B">
        <w:rPr>
          <w:rFonts w:ascii="Tahoma" w:eastAsia="Times New Roman" w:hAnsi="Tahoma" w:cs="Tahoma"/>
          <w:color w:val="868686"/>
          <w:sz w:val="18"/>
          <w:szCs w:val="18"/>
        </w:rPr>
        <w:t>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76. </w:t>
      </w:r>
      <w:r w:rsidRPr="00BE7F7B">
        <w:rPr>
          <w:rFonts w:ascii="Tahoma" w:eastAsia="Times New Roman" w:hAnsi="Tahoma" w:cs="Tahoma"/>
          <w:b/>
          <w:bCs/>
          <w:color w:val="868686"/>
          <w:sz w:val="18"/>
        </w:rPr>
        <w:t>Особенности заполнения раздела «Сведения о расходах»</w:t>
      </w:r>
      <w:r w:rsidRPr="00BE7F7B">
        <w:rPr>
          <w:rFonts w:ascii="Tahoma" w:eastAsia="Times New Roman" w:hAnsi="Tahoma" w:cs="Tahoma"/>
          <w:color w:val="868686"/>
          <w:sz w:val="18"/>
          <w:szCs w:val="18"/>
        </w:rPr>
        <w:t>:</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1) приобретение недвижимого имущества посредством участия в долевом строительстве.</w:t>
      </w:r>
      <w:r w:rsidRPr="00BE7F7B">
        <w:rPr>
          <w:rFonts w:ascii="Tahoma" w:eastAsia="Times New Roman" w:hAnsi="Tahoma" w:cs="Tahoma"/>
          <w:color w:val="868686"/>
          <w:sz w:val="18"/>
          <w:szCs w:val="18"/>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2) приобретение недвижимого имущества посредством участия в кооперативе.</w:t>
      </w:r>
      <w:r w:rsidRPr="00BE7F7B">
        <w:rPr>
          <w:rFonts w:ascii="Tahoma" w:eastAsia="Times New Roman" w:hAnsi="Tahoma" w:cs="Tahoma"/>
          <w:color w:val="868686"/>
          <w:sz w:val="18"/>
          <w:szCs w:val="18"/>
        </w:rPr>
        <w:t>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3) приобретение ценных бумаг.</w:t>
      </w:r>
      <w:r w:rsidRPr="00BE7F7B">
        <w:rPr>
          <w:rFonts w:ascii="Tahoma" w:eastAsia="Times New Roman" w:hAnsi="Tahoma" w:cs="Tahoma"/>
          <w:color w:val="868686"/>
          <w:sz w:val="18"/>
          <w:szCs w:val="18"/>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РАЗДЕЛ 3. СВЕДЕНИЯ ОБ ИМУЩЕСТВЕ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Подраздел 3.1 Недвижимое имущество</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77.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78.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xml:space="preserve">79.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 3 </w:t>
      </w:r>
      <w:r w:rsidRPr="00BE7F7B">
        <w:rPr>
          <w:rFonts w:ascii="Tahoma" w:eastAsia="Times New Roman" w:hAnsi="Tahoma" w:cs="Tahoma"/>
          <w:color w:val="868686"/>
          <w:sz w:val="18"/>
          <w:szCs w:val="18"/>
        </w:rPr>
        <w:lastRenderedPageBreak/>
        <w:t>статьи 1 Федерального закона от 13 июля 2015 г.</w:t>
      </w:r>
      <w:r w:rsidRPr="00BE7F7B">
        <w:rPr>
          <w:rFonts w:ascii="Tahoma" w:eastAsia="Times New Roman" w:hAnsi="Tahoma" w:cs="Tahoma"/>
          <w:color w:val="868686"/>
          <w:sz w:val="18"/>
          <w:szCs w:val="18"/>
        </w:rPr>
        <w:br/>
        <w:t>№ 218-ФЗ «О государственной регистрации недвижимости»).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80.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81.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Заполнение графы </w:t>
      </w:r>
      <w:r w:rsidRPr="00BE7F7B">
        <w:rPr>
          <w:rFonts w:ascii="Tahoma" w:eastAsia="Times New Roman" w:hAnsi="Tahoma" w:cs="Tahoma"/>
          <w:b/>
          <w:bCs/>
          <w:color w:val="868686"/>
          <w:sz w:val="18"/>
        </w:rPr>
        <w:t>«Вид и наименование имущества»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82. При указании сведений о </w:t>
      </w:r>
      <w:r w:rsidRPr="00BE7F7B">
        <w:rPr>
          <w:rFonts w:ascii="Tahoma" w:eastAsia="Times New Roman" w:hAnsi="Tahoma" w:cs="Tahoma"/>
          <w:b/>
          <w:bCs/>
          <w:color w:val="868686"/>
          <w:sz w:val="18"/>
        </w:rPr>
        <w:t>земельных участках</w:t>
      </w:r>
      <w:r w:rsidRPr="00BE7F7B">
        <w:rPr>
          <w:rFonts w:ascii="Tahoma" w:eastAsia="Times New Roman" w:hAnsi="Tahoma" w:cs="Tahoma"/>
          <w:color w:val="868686"/>
          <w:sz w:val="18"/>
          <w:szCs w:val="18"/>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83.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84.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85. При наличии в собственности </w:t>
      </w:r>
      <w:r w:rsidRPr="00BE7F7B">
        <w:rPr>
          <w:rFonts w:ascii="Tahoma" w:eastAsia="Times New Roman" w:hAnsi="Tahoma" w:cs="Tahoma"/>
          <w:b/>
          <w:bCs/>
          <w:color w:val="868686"/>
          <w:sz w:val="18"/>
        </w:rPr>
        <w:t>жилого или садового дома,</w:t>
      </w:r>
      <w:r w:rsidRPr="00BE7F7B">
        <w:rPr>
          <w:rFonts w:ascii="Tahoma" w:eastAsia="Times New Roman" w:hAnsi="Tahoma" w:cs="Tahoma"/>
          <w:color w:val="868686"/>
          <w:sz w:val="18"/>
          <w:szCs w:val="18"/>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86. В строке 4 «</w:t>
      </w:r>
      <w:r w:rsidRPr="00BE7F7B">
        <w:rPr>
          <w:rFonts w:ascii="Tahoma" w:eastAsia="Times New Roman" w:hAnsi="Tahoma" w:cs="Tahoma"/>
          <w:b/>
          <w:bCs/>
          <w:color w:val="868686"/>
          <w:sz w:val="18"/>
        </w:rPr>
        <w:t>Гаражи</w:t>
      </w:r>
      <w:r w:rsidRPr="00BE7F7B">
        <w:rPr>
          <w:rFonts w:ascii="Tahoma" w:eastAsia="Times New Roman" w:hAnsi="Tahoma" w:cs="Tahoma"/>
          <w:color w:val="868686"/>
          <w:sz w:val="18"/>
          <w:szCs w:val="18"/>
        </w:rPr>
        <w:t>»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87. В графе </w:t>
      </w:r>
      <w:r w:rsidRPr="00BE7F7B">
        <w:rPr>
          <w:rFonts w:ascii="Tahoma" w:eastAsia="Times New Roman" w:hAnsi="Tahoma" w:cs="Tahoma"/>
          <w:b/>
          <w:bCs/>
          <w:color w:val="868686"/>
          <w:sz w:val="18"/>
        </w:rPr>
        <w:t>«Вид собственности»</w:t>
      </w:r>
      <w:r w:rsidRPr="00BE7F7B">
        <w:rPr>
          <w:rFonts w:ascii="Tahoma" w:eastAsia="Times New Roman" w:hAnsi="Tahoma" w:cs="Tahoma"/>
          <w:color w:val="868686"/>
          <w:sz w:val="18"/>
          <w:szCs w:val="18"/>
        </w:rPr>
        <w:t> указывается вид собственности на имущество (индивидуальная, общая совместная, общая долевая).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88.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89.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90. </w:t>
      </w:r>
      <w:r w:rsidRPr="00BE7F7B">
        <w:rPr>
          <w:rFonts w:ascii="Tahoma" w:eastAsia="Times New Roman" w:hAnsi="Tahoma" w:cs="Tahoma"/>
          <w:b/>
          <w:bCs/>
          <w:color w:val="868686"/>
          <w:sz w:val="18"/>
        </w:rPr>
        <w:t>Местонахождение (адрес)</w:t>
      </w:r>
      <w:r w:rsidRPr="00BE7F7B">
        <w:rPr>
          <w:rFonts w:ascii="Tahoma" w:eastAsia="Times New Roman" w:hAnsi="Tahoma" w:cs="Tahoma"/>
          <w:color w:val="868686"/>
          <w:sz w:val="18"/>
          <w:szCs w:val="18"/>
        </w:rPr>
        <w:t> недвижимого имущества указывается согласно правоустанавливающим документам. При этом указывается: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1) субъект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район;</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 город, иной населенный пункт (село, поселок и т.д.);</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 улица (проспект, переулок и т.д.);</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 номер дома (владения, участка), корпуса (строения), квартиры.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Также рекомендуется указывать индекс.</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91. Если недвижимое имущество находится за рубежом, то указывается: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наименование государства;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населенный пункт (иная единица административно-территориального деления);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 почтовый адрес.</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92. </w:t>
      </w:r>
      <w:r w:rsidRPr="00BE7F7B">
        <w:rPr>
          <w:rFonts w:ascii="Tahoma" w:eastAsia="Times New Roman" w:hAnsi="Tahoma" w:cs="Tahoma"/>
          <w:b/>
          <w:bCs/>
          <w:color w:val="868686"/>
          <w:sz w:val="18"/>
        </w:rPr>
        <w:t>Площадь</w:t>
      </w:r>
      <w:r w:rsidRPr="00BE7F7B">
        <w:rPr>
          <w:rFonts w:ascii="Tahoma" w:eastAsia="Times New Roman" w:hAnsi="Tahoma" w:cs="Tahoma"/>
          <w:color w:val="868686"/>
          <w:sz w:val="18"/>
          <w:szCs w:val="18"/>
        </w:rPr>
        <w:t>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93.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Основание приобретения и источники средств</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94.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95. 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 1-345/95 о передаче недвижимого имущества в собственность и др.).</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96.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77:02:0014017:1994-72/004/2019-2 от 27 марта 2019 г., договор купли-продажи от 19 февраля 2019 г. и т.д.</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97. Обязанность сообщать сведения об </w:t>
      </w:r>
      <w:r w:rsidRPr="00BE7F7B">
        <w:rPr>
          <w:rFonts w:ascii="Tahoma" w:eastAsia="Times New Roman" w:hAnsi="Tahoma" w:cs="Tahoma"/>
          <w:b/>
          <w:bCs/>
          <w:color w:val="868686"/>
          <w:sz w:val="18"/>
        </w:rPr>
        <w:t>источнике средств</w:t>
      </w:r>
      <w:r w:rsidRPr="00BE7F7B">
        <w:rPr>
          <w:rFonts w:ascii="Tahoma" w:eastAsia="Times New Roman" w:hAnsi="Tahoma" w:cs="Tahoma"/>
          <w:color w:val="868686"/>
          <w:sz w:val="18"/>
          <w:szCs w:val="18"/>
        </w:rPr>
        <w:t>, за счет которых приобретено имущество, находящееся за пределами территории Российской Федерации, распространяется </w:t>
      </w:r>
      <w:r w:rsidRPr="00BE7F7B">
        <w:rPr>
          <w:rFonts w:ascii="Tahoma" w:eastAsia="Times New Roman" w:hAnsi="Tahoma" w:cs="Tahoma"/>
          <w:b/>
          <w:bCs/>
          <w:color w:val="868686"/>
          <w:sz w:val="18"/>
        </w:rPr>
        <w:t>только</w:t>
      </w:r>
      <w:r w:rsidRPr="00BE7F7B">
        <w:rPr>
          <w:rFonts w:ascii="Tahoma" w:eastAsia="Times New Roman" w:hAnsi="Tahoma" w:cs="Tahoma"/>
          <w:color w:val="868686"/>
          <w:sz w:val="18"/>
          <w:szCs w:val="18"/>
        </w:rPr>
        <w:t>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на лиц, замещающих (занимающих):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bookmarkStart w:id="0" w:name="Par1"/>
      <w:bookmarkEnd w:id="0"/>
      <w:r w:rsidRPr="00BE7F7B">
        <w:rPr>
          <w:rFonts w:ascii="Tahoma" w:eastAsia="Times New Roman" w:hAnsi="Tahoma" w:cs="Tahoma"/>
          <w:color w:val="868686"/>
          <w:sz w:val="18"/>
          <w:szCs w:val="18"/>
        </w:rPr>
        <w:t>государственные должности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должности первого заместителя и заместителей Генерального прокурора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должности членов Совета директоров Центрального банка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государственные должности субъектов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должности заместителей руководителей федеральных органов исполнительной власти;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bookmarkStart w:id="1" w:name="Par8"/>
      <w:bookmarkEnd w:id="1"/>
      <w:r w:rsidRPr="00BE7F7B">
        <w:rPr>
          <w:rFonts w:ascii="Tahoma" w:eastAsia="Times New Roman" w:hAnsi="Tahoma" w:cs="Tahoma"/>
          <w:color w:val="868686"/>
          <w:sz w:val="18"/>
          <w:szCs w:val="18"/>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на супруг (супругов), несовершеннолетних детей лиц, указанных в абзацах втором-десятом подпункта 1 настоящего пункта;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 иных лиц в случаях, предусмотренных федеральными законами.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98.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BE7F7B">
        <w:rPr>
          <w:rFonts w:ascii="Tahoma" w:eastAsia="Times New Roman" w:hAnsi="Tahoma" w:cs="Tahoma"/>
          <w:b/>
          <w:bCs/>
          <w:color w:val="868686"/>
          <w:sz w:val="18"/>
        </w:rPr>
        <w:t>исключительно</w:t>
      </w:r>
      <w:r w:rsidRPr="00BE7F7B">
        <w:rPr>
          <w:rFonts w:ascii="Tahoma" w:eastAsia="Times New Roman" w:hAnsi="Tahoma" w:cs="Tahoma"/>
          <w:color w:val="868686"/>
          <w:sz w:val="18"/>
          <w:szCs w:val="18"/>
        </w:rPr>
        <w:t> за пределами территории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о вышеуказанном источнике отображаются в справке ежегодно, вне зависимости от года приобретения имущества.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Подраздел 3.2. Транспортные средства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99.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100.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101. 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102.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w:t>
      </w:r>
      <w:r w:rsidRPr="00BE7F7B">
        <w:rPr>
          <w:rFonts w:ascii="Tahoma" w:eastAsia="Times New Roman" w:hAnsi="Tahoma" w:cs="Tahoma"/>
          <w:color w:val="868686"/>
          <w:sz w:val="18"/>
          <w:szCs w:val="18"/>
        </w:rPr>
        <w:br/>
        <w:t>№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подразделе 3.2 раздела 3 справки служащего.При заполнении графы </w:t>
      </w:r>
      <w:r w:rsidRPr="00BE7F7B">
        <w:rPr>
          <w:rFonts w:ascii="Tahoma" w:eastAsia="Times New Roman" w:hAnsi="Tahoma" w:cs="Tahoma"/>
          <w:b/>
          <w:bCs/>
          <w:color w:val="868686"/>
          <w:sz w:val="18"/>
        </w:rPr>
        <w:t>«Место регистрации»</w:t>
      </w:r>
      <w:r w:rsidRPr="00BE7F7B">
        <w:rPr>
          <w:rFonts w:ascii="Tahoma" w:eastAsia="Times New Roman" w:hAnsi="Tahoma" w:cs="Tahoma"/>
          <w:color w:val="868686"/>
          <w:sz w:val="18"/>
          <w:szCs w:val="18"/>
        </w:rPr>
        <w:t> указывается наименование органа внутренних дел, осуществившего регистрационный учет транспортного средства, например </w:t>
      </w:r>
      <w:hyperlink r:id="rId15" w:history="1">
        <w:r w:rsidRPr="00BE7F7B">
          <w:rPr>
            <w:rFonts w:ascii="Tahoma" w:eastAsia="Times New Roman" w:hAnsi="Tahoma" w:cs="Tahoma"/>
            <w:color w:val="7A7A7A"/>
            <w:sz w:val="18"/>
            <w:u w:val="single"/>
          </w:rPr>
          <w:t>МО ГИБДД ТНРЭР № 2 ГУ МВД России по г. Москве</w:t>
        </w:r>
      </w:hyperlink>
      <w:r w:rsidRPr="00BE7F7B">
        <w:rPr>
          <w:rFonts w:ascii="Tahoma" w:eastAsia="Times New Roman" w:hAnsi="Tahoma" w:cs="Tahoma"/>
          <w:color w:val="868686"/>
          <w:sz w:val="18"/>
          <w:szCs w:val="18"/>
        </w:rPr>
        <w:t>, </w:t>
      </w:r>
      <w:hyperlink r:id="rId16" w:history="1">
        <w:r w:rsidRPr="00BE7F7B">
          <w:rPr>
            <w:rFonts w:ascii="Tahoma" w:eastAsia="Times New Roman" w:hAnsi="Tahoma" w:cs="Tahoma"/>
            <w:color w:val="7A7A7A"/>
            <w:sz w:val="18"/>
            <w:u w:val="single"/>
          </w:rPr>
          <w:t>ОГИБДД ММО МВД России «Шалинский</w:t>
        </w:r>
      </w:hyperlink>
      <w:r w:rsidRPr="00BE7F7B">
        <w:rPr>
          <w:rFonts w:ascii="Tahoma" w:eastAsia="Times New Roman" w:hAnsi="Tahoma" w:cs="Tahoma"/>
          <w:color w:val="868686"/>
          <w:sz w:val="18"/>
          <w:szCs w:val="18"/>
        </w:rPr>
        <w:t>», </w:t>
      </w:r>
      <w:hyperlink r:id="rId17" w:history="1">
        <w:r w:rsidRPr="00BE7F7B">
          <w:rPr>
            <w:rFonts w:ascii="Tahoma" w:eastAsia="Times New Roman" w:hAnsi="Tahoma" w:cs="Tahoma"/>
            <w:color w:val="7A7A7A"/>
            <w:sz w:val="18"/>
            <w:u w:val="single"/>
          </w:rPr>
          <w:t>ОГИБДД ММО МВД России по Новолялинскому району</w:t>
        </w:r>
      </w:hyperlink>
      <w:r w:rsidRPr="00BE7F7B">
        <w:rPr>
          <w:rFonts w:ascii="Tahoma" w:eastAsia="Times New Roman" w:hAnsi="Tahoma" w:cs="Tahoma"/>
          <w:color w:val="868686"/>
          <w:sz w:val="18"/>
          <w:szCs w:val="18"/>
        </w:rPr>
        <w:t>, 3 отд. МОТОТРЭР ГИБДД УВД по ЦАО г. Москвы и т.д. Указанные данные заполняются согласно паспорту транспортного средства.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Также допускается указание кода подразделения ГИБДД в соответствии со свидетельством о регистрации транспортного средства.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103. Аналогичным подходом необходимо руководствоваться при указании в данном подразделе водного, воздушного транспорта.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104. В строке 7 «Иные транспортные средства» подлежат указанию, в частности, прицепы, зарегистрированные в установленном порядке.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РАЗДЕЛ 4. СВЕДЕНИЯ О СЧЕТАХ В БАНКАХ И ИНЫХ КРЕДИТНЫХ ОРГАНИЗАЦИЯХ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105.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106.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счета с нулевым остатком по состоянию на отчетную дату;</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 счета (вклады) в иностранных банках, расположенных за пределами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 счета, открытые для погашения кредита;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 вклады (счета) в драгоценных металлах (в том числе указывается вид счета и металл, в котором он открыт);</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8) номинальный счет;</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9) счет эскроу.</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об учетных ценах на аффинированные драгоценные металлы, устанавливаемых Банком России, размещены на его официальном сайте: </w:t>
      </w:r>
      <w:hyperlink r:id="rId18" w:history="1">
        <w:r w:rsidRPr="00BE7F7B">
          <w:rPr>
            <w:rFonts w:ascii="Tahoma" w:eastAsia="Times New Roman" w:hAnsi="Tahoma" w:cs="Tahoma"/>
            <w:color w:val="7A7A7A"/>
            <w:sz w:val="18"/>
            <w:u w:val="single"/>
          </w:rPr>
          <w:t>http://www.cbr.ru/hd_base/?PrtId=metall_base_new</w:t>
        </w:r>
      </w:hyperlink>
      <w:r w:rsidRPr="00BE7F7B">
        <w:rPr>
          <w:rFonts w:ascii="Tahoma" w:eastAsia="Times New Roman" w:hAnsi="Tahoma" w:cs="Tahoma"/>
          <w:color w:val="868686"/>
          <w:sz w:val="18"/>
          <w:szCs w:val="18"/>
        </w:rPr>
        <w:t>.</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107. С учетом целей антикоррупционного законодательства Российской Федерации в данном разделе не указываются следующие счета: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счета, закрытые по состоянию на отчетную дату;</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 депозитные счета нотариуса;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 счета доверительного управления;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 открываемые не на основании гражданско-правового договора счета, счета депо, счета брокера, индивидуальные инвестиционные счета;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7) синтетические счета.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108.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109.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110. В соответствии с указанной Инструкцией физическим лицам открываются следующие счета: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текущий счет (для совершения операций, не связанных с предпринимательской деятельностью или частной практикой);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111. В графе «Дата открытия счета» не допускается указание даты выпуска (перевыпуска) платежной карты.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112. Графа «Остаток на счете» заполняется по состоянию на отчетную дату.</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9" w:history="1">
        <w:r w:rsidRPr="00BE7F7B">
          <w:rPr>
            <w:rFonts w:ascii="Tahoma" w:eastAsia="Times New Roman" w:hAnsi="Tahoma" w:cs="Tahoma"/>
            <w:color w:val="7A7A7A"/>
            <w:sz w:val="18"/>
            <w:u w:val="single"/>
          </w:rPr>
          <w:t>http://www.cbr.ru/currency_base/daily.aspx</w:t>
        </w:r>
      </w:hyperlink>
      <w:r w:rsidRPr="00BE7F7B">
        <w:rPr>
          <w:rFonts w:ascii="Tahoma" w:eastAsia="Times New Roman" w:hAnsi="Tahoma" w:cs="Tahoma"/>
          <w:color w:val="868686"/>
          <w:sz w:val="18"/>
          <w:szCs w:val="18"/>
        </w:rPr>
        <w:t>.</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113. Графа «Сумма поступивших на счет денежных средств» заполняется </w:t>
      </w:r>
      <w:r w:rsidRPr="00BE7F7B">
        <w:rPr>
          <w:rFonts w:ascii="Tahoma" w:eastAsia="Times New Roman" w:hAnsi="Tahoma" w:cs="Tahoma"/>
          <w:b/>
          <w:bCs/>
          <w:color w:val="868686"/>
          <w:sz w:val="18"/>
        </w:rPr>
        <w:t>только</w:t>
      </w:r>
      <w:r w:rsidRPr="00BE7F7B">
        <w:rPr>
          <w:rFonts w:ascii="Tahoma" w:eastAsia="Times New Roman" w:hAnsi="Tahoma" w:cs="Tahoma"/>
          <w:color w:val="868686"/>
          <w:sz w:val="18"/>
          <w:szCs w:val="18"/>
        </w:rPr>
        <w:t>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справке прилагается выписка о движении денежных средств по данному счету за отчетный период.</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При этом в данной графе следует сделать специальную пометку «Выписка № от _______ на листе (листах)».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Для счетов в иностранной валюте сумма указывается в рублях по курсу Банка России на отчетную дату.</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114.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Совместный счет</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115.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Кредитные карты, карты с овердрафтом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116. Банк (иная кредитная организация) выпускает следующие виды карт (таблица № 5):</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7F7F7"/>
        <w:tblCellMar>
          <w:top w:w="15" w:type="dxa"/>
          <w:left w:w="15" w:type="dxa"/>
          <w:bottom w:w="15" w:type="dxa"/>
          <w:right w:w="15" w:type="dxa"/>
        </w:tblCellMar>
        <w:tblLook w:val="04A0"/>
      </w:tblPr>
      <w:tblGrid>
        <w:gridCol w:w="1296"/>
        <w:gridCol w:w="8179"/>
      </w:tblGrid>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Расчетная (дебетовая)</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BE7F7B" w:rsidRPr="00BE7F7B" w:rsidTr="00BE7F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Кредитная</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BE7F7B" w:rsidRPr="00BE7F7B" w:rsidRDefault="00BE7F7B" w:rsidP="00BE7F7B">
            <w:pPr>
              <w:spacing w:after="0" w:line="240" w:lineRule="auto"/>
              <w:rPr>
                <w:rFonts w:ascii="Tahoma" w:eastAsia="Times New Roman" w:hAnsi="Tahoma" w:cs="Tahoma"/>
                <w:color w:val="868686"/>
                <w:sz w:val="18"/>
                <w:szCs w:val="18"/>
              </w:rPr>
            </w:pPr>
            <w:r w:rsidRPr="00BE7F7B">
              <w:rPr>
                <w:rFonts w:ascii="Tahoma" w:eastAsia="Times New Roman" w:hAnsi="Tahoma" w:cs="Tahoma"/>
                <w:color w:val="868686"/>
                <w:sz w:val="18"/>
                <w:szCs w:val="18"/>
              </w:rPr>
              <w:t>Как электронное средство платежа используется для совершения ее держателем операций за счет</w:t>
            </w:r>
            <w:r w:rsidRPr="00BE7F7B">
              <w:rPr>
                <w:rFonts w:ascii="Tahoma" w:eastAsia="Times New Roman" w:hAnsi="Tahoma" w:cs="Tahoma"/>
                <w:color w:val="868686"/>
                <w:sz w:val="18"/>
                <w:szCs w:val="18"/>
              </w:rPr>
              <w:br/>
              <w:t>денежных средств, предоставленных кредитной</w:t>
            </w:r>
            <w:r w:rsidRPr="00BE7F7B">
              <w:rPr>
                <w:rFonts w:ascii="Tahoma" w:eastAsia="Times New Roman" w:hAnsi="Tahoma" w:cs="Tahoma"/>
                <w:color w:val="868686"/>
                <w:sz w:val="18"/>
                <w:szCs w:val="18"/>
              </w:rPr>
              <w:br/>
              <w:t>организацией - эмитентом клиенту в пределах расходного лимита в соответствии с условиями кредитного договора.</w:t>
            </w:r>
          </w:p>
        </w:tc>
      </w:tr>
    </w:tbl>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117. Расчетная (дебетовая) и кредитные карты, как правило, предполагают открытие и ведение банком (иной кредитной организацией) счета.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w:t>
      </w:r>
      <w:hyperlink r:id="rId20" w:history="1">
        <w:r w:rsidRPr="00BE7F7B">
          <w:rPr>
            <w:rFonts w:ascii="Tahoma" w:eastAsia="Times New Roman" w:hAnsi="Tahoma" w:cs="Tahoma"/>
            <w:color w:val="7A7A7A"/>
            <w:sz w:val="18"/>
            <w:u w:val="single"/>
          </w:rPr>
          <w:t>https://www.nalog.ru/rn77/fl/interest/inf_baccount/</w:t>
        </w:r>
      </w:hyperlink>
      <w:r w:rsidRPr="00BE7F7B">
        <w:rPr>
          <w:rFonts w:ascii="Tahoma" w:eastAsia="Times New Roman" w:hAnsi="Tahoma" w:cs="Tahoma"/>
          <w:color w:val="868686"/>
          <w:sz w:val="18"/>
          <w:szCs w:val="18"/>
        </w:rPr>
        <w:t>.</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118.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справки.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119.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120.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121.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122. В данном разделе </w:t>
      </w:r>
      <w:r w:rsidRPr="00BE7F7B">
        <w:rPr>
          <w:rFonts w:ascii="Tahoma" w:eastAsia="Times New Roman" w:hAnsi="Tahoma" w:cs="Tahoma"/>
          <w:b/>
          <w:bCs/>
          <w:color w:val="868686"/>
          <w:sz w:val="18"/>
        </w:rPr>
        <w:t>не указываются счета</w:t>
      </w:r>
      <w:r w:rsidRPr="00BE7F7B">
        <w:rPr>
          <w:rFonts w:ascii="Tahoma" w:eastAsia="Times New Roman" w:hAnsi="Tahoma" w:cs="Tahoma"/>
          <w:color w:val="868686"/>
          <w:sz w:val="18"/>
          <w:szCs w:val="1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Отзыв лицензии у кредитной организации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123.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124.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125. До момента закрытия соответствующего счета, счет считается открытым и подлежит отражению в разделе 4 справки.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Ликвидация кредитной организации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126.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127.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1" w:history="1">
        <w:r w:rsidRPr="00BE7F7B">
          <w:rPr>
            <w:rFonts w:ascii="Tahoma" w:eastAsia="Times New Roman" w:hAnsi="Tahoma" w:cs="Tahoma"/>
            <w:color w:val="7A7A7A"/>
            <w:sz w:val="18"/>
            <w:u w:val="single"/>
          </w:rPr>
          <w:t>http://cbr.ru/credit/likvidbase/</w:t>
        </w:r>
      </w:hyperlink>
      <w:r w:rsidRPr="00BE7F7B">
        <w:rPr>
          <w:rFonts w:ascii="Tahoma" w:eastAsia="Times New Roman" w:hAnsi="Tahoma" w:cs="Tahoma"/>
          <w:color w:val="868686"/>
          <w:sz w:val="18"/>
          <w:szCs w:val="18"/>
        </w:rPr>
        <w:t>.</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РАЗДЕЛ 5. СВЕДЕНИЯ О ЦЕННЫХ БУМАГАХ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128.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Подраздел 5.1. Акции и иное участие в коммерческих организациях и фондах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129. В соответствии с Федеральным законом от 22 апреля 1996 г.</w:t>
      </w:r>
      <w:r w:rsidRPr="00BE7F7B">
        <w:rPr>
          <w:rFonts w:ascii="Tahoma" w:eastAsia="Times New Roman" w:hAnsi="Tahoma" w:cs="Tahoma"/>
          <w:color w:val="868686"/>
          <w:sz w:val="18"/>
          <w:szCs w:val="18"/>
        </w:rPr>
        <w:br/>
        <w:t>№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130. В графе </w:t>
      </w:r>
      <w:r w:rsidRPr="00BE7F7B">
        <w:rPr>
          <w:rFonts w:ascii="Tahoma" w:eastAsia="Times New Roman" w:hAnsi="Tahoma" w:cs="Tahoma"/>
          <w:b/>
          <w:bCs/>
          <w:color w:val="868686"/>
          <w:sz w:val="18"/>
        </w:rPr>
        <w:t>«Наименование и организационно-правовая форма организации</w:t>
      </w:r>
      <w:r w:rsidRPr="00BE7F7B">
        <w:rPr>
          <w:rFonts w:ascii="Tahoma" w:eastAsia="Times New Roman" w:hAnsi="Tahoma" w:cs="Tahoma"/>
          <w:color w:val="868686"/>
          <w:sz w:val="18"/>
          <w:szCs w:val="1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В случае если служащий (работник) является учредителем организации, то данную информацию также необходимо отразить.</w:t>
      </w:r>
      <w:bookmarkStart w:id="2" w:name="Par619"/>
      <w:bookmarkEnd w:id="2"/>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131. </w:t>
      </w:r>
      <w:r w:rsidRPr="00BE7F7B">
        <w:rPr>
          <w:rFonts w:ascii="Tahoma" w:eastAsia="Times New Roman" w:hAnsi="Tahoma" w:cs="Tahoma"/>
          <w:b/>
          <w:bCs/>
          <w:color w:val="868686"/>
          <w:sz w:val="18"/>
        </w:rPr>
        <w:t>Уставный капитал</w:t>
      </w:r>
      <w:r w:rsidRPr="00BE7F7B">
        <w:rPr>
          <w:rFonts w:ascii="Tahoma" w:eastAsia="Times New Roman" w:hAnsi="Tahoma" w:cs="Tahoma"/>
          <w:color w:val="868686"/>
          <w:sz w:val="18"/>
          <w:szCs w:val="18"/>
        </w:rPr>
        <w:t>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2" w:history="1">
        <w:r w:rsidRPr="00BE7F7B">
          <w:rPr>
            <w:rFonts w:ascii="Tahoma" w:eastAsia="Times New Roman" w:hAnsi="Tahoma" w:cs="Tahoma"/>
            <w:color w:val="7A7A7A"/>
            <w:sz w:val="18"/>
            <w:u w:val="single"/>
          </w:rPr>
          <w:t>http://www.cbr.ru/currency_base/daily.aspx</w:t>
        </w:r>
      </w:hyperlink>
      <w:r w:rsidRPr="00BE7F7B">
        <w:rPr>
          <w:rFonts w:ascii="Tahoma" w:eastAsia="Times New Roman" w:hAnsi="Tahoma" w:cs="Tahoma"/>
          <w:color w:val="868686"/>
          <w:sz w:val="18"/>
          <w:szCs w:val="18"/>
        </w:rPr>
        <w:t>.</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Если законодательством не предусмотрено формирование уставного капитала, то указывается «0 руб.».</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bookmarkStart w:id="3" w:name="Par620"/>
      <w:bookmarkEnd w:id="3"/>
      <w:r w:rsidRPr="00BE7F7B">
        <w:rPr>
          <w:rFonts w:ascii="Tahoma" w:eastAsia="Times New Roman" w:hAnsi="Tahoma" w:cs="Tahoma"/>
          <w:color w:val="868686"/>
          <w:sz w:val="18"/>
          <w:szCs w:val="18"/>
        </w:rPr>
        <w:t>132. </w:t>
      </w:r>
      <w:r w:rsidRPr="00BE7F7B">
        <w:rPr>
          <w:rFonts w:ascii="Tahoma" w:eastAsia="Times New Roman" w:hAnsi="Tahoma" w:cs="Tahoma"/>
          <w:b/>
          <w:bCs/>
          <w:color w:val="868686"/>
          <w:sz w:val="18"/>
        </w:rPr>
        <w:t>Доля участия</w:t>
      </w:r>
      <w:r w:rsidRPr="00BE7F7B">
        <w:rPr>
          <w:rFonts w:ascii="Tahoma" w:eastAsia="Times New Roman" w:hAnsi="Tahoma" w:cs="Tahoma"/>
          <w:color w:val="868686"/>
          <w:sz w:val="18"/>
          <w:szCs w:val="18"/>
        </w:rPr>
        <w:t> выражается в процентах от уставного капитала. Для акционерных обществ указываются также номинальная стоимость и количество акций.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133. В графе «</w:t>
      </w:r>
      <w:r w:rsidRPr="00BE7F7B">
        <w:rPr>
          <w:rFonts w:ascii="Tahoma" w:eastAsia="Times New Roman" w:hAnsi="Tahoma" w:cs="Tahoma"/>
          <w:b/>
          <w:bCs/>
          <w:color w:val="868686"/>
          <w:sz w:val="18"/>
        </w:rPr>
        <w:t>Основание участия</w:t>
      </w:r>
      <w:r w:rsidRPr="00BE7F7B">
        <w:rPr>
          <w:rFonts w:ascii="Tahoma" w:eastAsia="Times New Roman" w:hAnsi="Tahoma" w:cs="Tahoma"/>
          <w:color w:val="868686"/>
          <w:sz w:val="18"/>
          <w:szCs w:val="1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Подраздел 5.2. Иные ценные бумаги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134.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Государственный сертификат на материнский (семейный) капитал не является ценной бумагой и не подлежит указанию в подразделе 5.2 справки.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135. В подразделе 5.2 указываются все ценные бумаги по видам (облигации, векселя и другие), за исключением акций, указанных в подразделе 5.1.</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136. В графе «</w:t>
      </w:r>
      <w:r w:rsidRPr="00BE7F7B">
        <w:rPr>
          <w:rFonts w:ascii="Tahoma" w:eastAsia="Times New Roman" w:hAnsi="Tahoma" w:cs="Tahoma"/>
          <w:b/>
          <w:bCs/>
          <w:color w:val="868686"/>
          <w:sz w:val="18"/>
        </w:rPr>
        <w:t>Номинальная величина обязательства</w:t>
      </w:r>
      <w:r w:rsidRPr="00BE7F7B">
        <w:rPr>
          <w:rFonts w:ascii="Tahoma" w:eastAsia="Times New Roman" w:hAnsi="Tahoma" w:cs="Tahoma"/>
          <w:color w:val="868686"/>
          <w:sz w:val="18"/>
          <w:szCs w:val="18"/>
        </w:rPr>
        <w:t>»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137.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графе «</w:t>
      </w:r>
      <w:r w:rsidRPr="00BE7F7B">
        <w:rPr>
          <w:rFonts w:ascii="Tahoma" w:eastAsia="Times New Roman" w:hAnsi="Tahoma" w:cs="Tahoma"/>
          <w:b/>
          <w:bCs/>
          <w:color w:val="868686"/>
          <w:sz w:val="18"/>
        </w:rPr>
        <w:t>Общая стоимость</w:t>
      </w:r>
      <w:r w:rsidRPr="00BE7F7B">
        <w:rPr>
          <w:rFonts w:ascii="Tahoma" w:eastAsia="Times New Roman" w:hAnsi="Tahoma" w:cs="Tahoma"/>
          <w:color w:val="868686"/>
          <w:sz w:val="18"/>
          <w:szCs w:val="1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sidRPr="00BE7F7B">
          <w:rPr>
            <w:rFonts w:ascii="Tahoma" w:eastAsia="Times New Roman" w:hAnsi="Tahoma" w:cs="Tahoma"/>
            <w:color w:val="7A7A7A"/>
            <w:sz w:val="18"/>
            <w:u w:val="single"/>
          </w:rPr>
          <w:t>http://www.cbr.ru/currency_base/daily.aspx</w:t>
        </w:r>
      </w:hyperlink>
      <w:r w:rsidRPr="00BE7F7B">
        <w:rPr>
          <w:rFonts w:ascii="Tahoma" w:eastAsia="Times New Roman" w:hAnsi="Tahoma" w:cs="Tahoma"/>
          <w:color w:val="868686"/>
          <w:sz w:val="18"/>
          <w:szCs w:val="18"/>
        </w:rPr>
        <w:t>.</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РАЗДЕЛ 6. СВЕДЕНИЯ ОБ ОБЯЗАТЕЛЬСТВАХ ИМУЩЕСТВЕННОГО ХАРАКТЕРА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Подраздел 6.1. Объекты недвижимого имущества, находящиеся в пользовании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138.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xml:space="preserve">139.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w:t>
      </w:r>
      <w:r w:rsidRPr="00BE7F7B">
        <w:rPr>
          <w:rFonts w:ascii="Tahoma" w:eastAsia="Times New Roman" w:hAnsi="Tahoma" w:cs="Tahoma"/>
          <w:color w:val="868686"/>
          <w:sz w:val="18"/>
          <w:szCs w:val="18"/>
        </w:rPr>
        <w:lastRenderedPageBreak/>
        <w:t>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отсутствует фактическое пользование этим объектом супругом;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эти объекты указаны в подразделе 3.1 соответствующей справки (аналогично в отношении несовершеннолетних детей).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140.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141. В том числе указанию подлежат сведения о жилом помещении (дом, квартира, комната), нежилом помещении, земельном участке, гараже и т.д.:</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 занимаемых по договору аренды (найма, поднайма);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 занимаемых по договорам социального найма;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 принадлежащих на праве пожизненного наследуемого владения земельным участком;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142. При этом указывается общая площадь объекта недвижимого имущества, находящегося в пользовании.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143. Сведения об объектах недвижимого имущества, находящихся в пользовании, указываются по состоянию на отчетную дату.</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144. В графе </w:t>
      </w:r>
      <w:r w:rsidRPr="00BE7F7B">
        <w:rPr>
          <w:rFonts w:ascii="Tahoma" w:eastAsia="Times New Roman" w:hAnsi="Tahoma" w:cs="Tahoma"/>
          <w:b/>
          <w:bCs/>
          <w:color w:val="868686"/>
          <w:sz w:val="18"/>
        </w:rPr>
        <w:t>«Вид имущества</w:t>
      </w:r>
      <w:r w:rsidRPr="00BE7F7B">
        <w:rPr>
          <w:rFonts w:ascii="Tahoma" w:eastAsia="Times New Roman" w:hAnsi="Tahoma" w:cs="Tahoma"/>
          <w:color w:val="868686"/>
          <w:sz w:val="18"/>
          <w:szCs w:val="18"/>
        </w:rPr>
        <w:t>» указывается вид недвижимого имущества (земельный участок, жилой дом, дача, квартира, комната и др.).</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bookmarkStart w:id="4" w:name="Par626"/>
      <w:bookmarkEnd w:id="4"/>
      <w:r w:rsidRPr="00BE7F7B">
        <w:rPr>
          <w:rFonts w:ascii="Tahoma" w:eastAsia="Times New Roman" w:hAnsi="Tahoma" w:cs="Tahoma"/>
          <w:color w:val="868686"/>
          <w:sz w:val="18"/>
          <w:szCs w:val="18"/>
        </w:rPr>
        <w:t>145. В графе «</w:t>
      </w:r>
      <w:r w:rsidRPr="00BE7F7B">
        <w:rPr>
          <w:rFonts w:ascii="Tahoma" w:eastAsia="Times New Roman" w:hAnsi="Tahoma" w:cs="Tahoma"/>
          <w:b/>
          <w:bCs/>
          <w:color w:val="868686"/>
          <w:sz w:val="18"/>
        </w:rPr>
        <w:t>Вид и сроки пользования</w:t>
      </w:r>
      <w:r w:rsidRPr="00BE7F7B">
        <w:rPr>
          <w:rFonts w:ascii="Tahoma" w:eastAsia="Times New Roman" w:hAnsi="Tahoma" w:cs="Tahoma"/>
          <w:color w:val="868686"/>
          <w:sz w:val="18"/>
          <w:szCs w:val="18"/>
        </w:rPr>
        <w:t>» указываются вид пользования (аренда, безвозмездное пользование и др.) и сроки пользования.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bookmarkStart w:id="5" w:name="Par627"/>
      <w:bookmarkEnd w:id="5"/>
      <w:r w:rsidRPr="00BE7F7B">
        <w:rPr>
          <w:rFonts w:ascii="Tahoma" w:eastAsia="Times New Roman" w:hAnsi="Tahoma" w:cs="Tahoma"/>
          <w:color w:val="868686"/>
          <w:sz w:val="18"/>
          <w:szCs w:val="18"/>
        </w:rPr>
        <w:t>146. В графе «</w:t>
      </w:r>
      <w:r w:rsidRPr="00BE7F7B">
        <w:rPr>
          <w:rFonts w:ascii="Tahoma" w:eastAsia="Times New Roman" w:hAnsi="Tahoma" w:cs="Tahoma"/>
          <w:b/>
          <w:bCs/>
          <w:color w:val="868686"/>
          <w:sz w:val="18"/>
        </w:rPr>
        <w:t>Основание пользования</w:t>
      </w:r>
      <w:r w:rsidRPr="00BE7F7B">
        <w:rPr>
          <w:rFonts w:ascii="Tahoma" w:eastAsia="Times New Roman" w:hAnsi="Tahoma" w:cs="Tahoma"/>
          <w:color w:val="868686"/>
          <w:sz w:val="18"/>
          <w:szCs w:val="1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147. В данном подразделе </w:t>
      </w:r>
      <w:r w:rsidRPr="00BE7F7B">
        <w:rPr>
          <w:rFonts w:ascii="Tahoma" w:eastAsia="Times New Roman" w:hAnsi="Tahoma" w:cs="Tahoma"/>
          <w:b/>
          <w:bCs/>
          <w:color w:val="868686"/>
          <w:sz w:val="18"/>
        </w:rPr>
        <w:t>не указывается</w:t>
      </w:r>
      <w:r w:rsidRPr="00BE7F7B">
        <w:rPr>
          <w:rFonts w:ascii="Tahoma" w:eastAsia="Times New Roman" w:hAnsi="Tahoma" w:cs="Tahoma"/>
          <w:color w:val="868686"/>
          <w:sz w:val="18"/>
          <w:szCs w:val="18"/>
        </w:rPr>
        <w:t>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148.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При этом данные доли собственности должны быть отражены в подразделе 3.1. справок служащего (работника) и его супруги (супруга).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Подраздел 6.2. Срочные обязательства финансового характера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149. В данном подразделе указывается </w:t>
      </w:r>
      <w:r w:rsidRPr="00BE7F7B">
        <w:rPr>
          <w:rFonts w:ascii="Tahoma" w:eastAsia="Times New Roman" w:hAnsi="Tahoma" w:cs="Tahoma"/>
          <w:b/>
          <w:bCs/>
          <w:color w:val="868686"/>
          <w:sz w:val="18"/>
        </w:rPr>
        <w:t>каждое</w:t>
      </w:r>
      <w:r w:rsidRPr="00BE7F7B">
        <w:rPr>
          <w:rFonts w:ascii="Tahoma" w:eastAsia="Times New Roman" w:hAnsi="Tahoma" w:cs="Tahoma"/>
          <w:color w:val="868686"/>
          <w:sz w:val="18"/>
          <w:szCs w:val="18"/>
        </w:rPr>
        <w:t> имеющееся на отчетную дату срочное обязательство финансового характера на сумму, </w:t>
      </w:r>
      <w:r w:rsidRPr="00BE7F7B">
        <w:rPr>
          <w:rFonts w:ascii="Tahoma" w:eastAsia="Times New Roman" w:hAnsi="Tahoma" w:cs="Tahoma"/>
          <w:b/>
          <w:bCs/>
          <w:color w:val="868686"/>
          <w:sz w:val="18"/>
        </w:rPr>
        <w:t>равную или превышающую</w:t>
      </w:r>
      <w:r w:rsidRPr="00BE7F7B">
        <w:rPr>
          <w:rFonts w:ascii="Tahoma" w:eastAsia="Times New Roman" w:hAnsi="Tahoma" w:cs="Tahoma"/>
          <w:color w:val="868686"/>
          <w:sz w:val="18"/>
          <w:szCs w:val="18"/>
        </w:rPr>
        <w:t> 500 000 руб., кредитором или должником по которому является служащий (работник), его супруга (супруг), несовершеннолетний ребенок.</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bookmarkStart w:id="6" w:name="Par629"/>
      <w:bookmarkEnd w:id="6"/>
      <w:r w:rsidRPr="00BE7F7B">
        <w:rPr>
          <w:rFonts w:ascii="Tahoma" w:eastAsia="Times New Roman" w:hAnsi="Tahoma" w:cs="Tahoma"/>
          <w:color w:val="868686"/>
          <w:sz w:val="18"/>
          <w:szCs w:val="18"/>
        </w:rPr>
        <w:t>150. В графе «</w:t>
      </w:r>
      <w:r w:rsidRPr="00BE7F7B">
        <w:rPr>
          <w:rFonts w:ascii="Tahoma" w:eastAsia="Times New Roman" w:hAnsi="Tahoma" w:cs="Tahoma"/>
          <w:b/>
          <w:bCs/>
          <w:color w:val="868686"/>
          <w:sz w:val="18"/>
        </w:rPr>
        <w:t>Содержание обязательства</w:t>
      </w:r>
      <w:r w:rsidRPr="00BE7F7B">
        <w:rPr>
          <w:rFonts w:ascii="Tahoma" w:eastAsia="Times New Roman" w:hAnsi="Tahoma" w:cs="Tahoma"/>
          <w:color w:val="868686"/>
          <w:sz w:val="18"/>
          <w:szCs w:val="18"/>
        </w:rPr>
        <w:t>» указывается существо обязательства (заем, кредит и другие).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lastRenderedPageBreak/>
        <w:t>151. В графе «</w:t>
      </w:r>
      <w:r w:rsidRPr="00BE7F7B">
        <w:rPr>
          <w:rFonts w:ascii="Tahoma" w:eastAsia="Times New Roman" w:hAnsi="Tahoma" w:cs="Tahoma"/>
          <w:b/>
          <w:bCs/>
          <w:color w:val="868686"/>
          <w:sz w:val="18"/>
        </w:rPr>
        <w:t>Кредитор (должник)</w:t>
      </w:r>
      <w:r w:rsidRPr="00BE7F7B">
        <w:rPr>
          <w:rFonts w:ascii="Tahoma" w:eastAsia="Times New Roman" w:hAnsi="Tahoma" w:cs="Tahoma"/>
          <w:color w:val="868686"/>
          <w:sz w:val="18"/>
          <w:szCs w:val="1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Например,</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Данный подраздел также подлежит заполнению в случае, если лицо, в отношении которого представляются сведения, является созаемщиком.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bookmarkStart w:id="7" w:name="Par631"/>
      <w:bookmarkEnd w:id="7"/>
      <w:r w:rsidRPr="00BE7F7B">
        <w:rPr>
          <w:rFonts w:ascii="Tahoma" w:eastAsia="Times New Roman" w:hAnsi="Tahoma" w:cs="Tahoma"/>
          <w:color w:val="868686"/>
          <w:sz w:val="18"/>
          <w:szCs w:val="18"/>
        </w:rPr>
        <w:t>152. В графе «</w:t>
      </w:r>
      <w:r w:rsidRPr="00BE7F7B">
        <w:rPr>
          <w:rFonts w:ascii="Tahoma" w:eastAsia="Times New Roman" w:hAnsi="Tahoma" w:cs="Tahoma"/>
          <w:b/>
          <w:bCs/>
          <w:color w:val="868686"/>
          <w:sz w:val="18"/>
        </w:rPr>
        <w:t>Основание возникновения</w:t>
      </w:r>
      <w:r w:rsidRPr="00BE7F7B">
        <w:rPr>
          <w:rFonts w:ascii="Tahoma" w:eastAsia="Times New Roman" w:hAnsi="Tahoma" w:cs="Tahoma"/>
          <w:color w:val="868686"/>
          <w:sz w:val="18"/>
          <w:szCs w:val="18"/>
        </w:rPr>
        <w:t>» указываются основание возникновения обязательства, а также реквизиты (дата, номер) соответствующего договора или акта.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153. В графе «</w:t>
      </w:r>
      <w:r w:rsidRPr="00BE7F7B">
        <w:rPr>
          <w:rFonts w:ascii="Tahoma" w:eastAsia="Times New Roman" w:hAnsi="Tahoma" w:cs="Tahoma"/>
          <w:b/>
          <w:bCs/>
          <w:color w:val="868686"/>
          <w:sz w:val="18"/>
        </w:rPr>
        <w:t>Сумма обязательства / размер обязательства по состоянию на отчетную дату</w:t>
      </w:r>
      <w:r w:rsidRPr="00BE7F7B">
        <w:rPr>
          <w:rFonts w:ascii="Tahoma" w:eastAsia="Times New Roman" w:hAnsi="Tahoma" w:cs="Tahoma"/>
          <w:color w:val="868686"/>
          <w:sz w:val="18"/>
          <w:szCs w:val="18"/>
        </w:rPr>
        <w:t>»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history="1">
        <w:r w:rsidRPr="00BE7F7B">
          <w:rPr>
            <w:rFonts w:ascii="Tahoma" w:eastAsia="Times New Roman" w:hAnsi="Tahoma" w:cs="Tahoma"/>
            <w:color w:val="7A7A7A"/>
            <w:sz w:val="18"/>
            <w:u w:val="single"/>
          </w:rPr>
          <w:t>http://www.cbr.ru/currency_base/daily.aspx</w:t>
        </w:r>
      </w:hyperlink>
      <w:r w:rsidRPr="00BE7F7B">
        <w:rPr>
          <w:rFonts w:ascii="Tahoma" w:eastAsia="Times New Roman" w:hAnsi="Tahoma" w:cs="Tahoma"/>
          <w:color w:val="868686"/>
          <w:sz w:val="18"/>
          <w:szCs w:val="18"/>
        </w:rPr>
        <w:t>.</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154.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bookmarkStart w:id="8" w:name="Par633"/>
      <w:bookmarkEnd w:id="8"/>
      <w:r w:rsidRPr="00BE7F7B">
        <w:rPr>
          <w:rFonts w:ascii="Tahoma" w:eastAsia="Times New Roman" w:hAnsi="Tahoma" w:cs="Tahoma"/>
          <w:color w:val="868686"/>
          <w:sz w:val="18"/>
          <w:szCs w:val="18"/>
        </w:rPr>
        <w:t>155. В графе «</w:t>
      </w:r>
      <w:r w:rsidRPr="00BE7F7B">
        <w:rPr>
          <w:rFonts w:ascii="Tahoma" w:eastAsia="Times New Roman" w:hAnsi="Tahoma" w:cs="Tahoma"/>
          <w:b/>
          <w:bCs/>
          <w:color w:val="868686"/>
          <w:sz w:val="18"/>
        </w:rPr>
        <w:t>Условия обязательства</w:t>
      </w:r>
      <w:r w:rsidRPr="00BE7F7B">
        <w:rPr>
          <w:rFonts w:ascii="Tahoma" w:eastAsia="Times New Roman" w:hAnsi="Tahoma" w:cs="Tahoma"/>
          <w:color w:val="868686"/>
          <w:sz w:val="18"/>
          <w:szCs w:val="18"/>
        </w:rPr>
        <w:t>»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156. Помимо прочего подлежат указанию:</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2) договор финансовой аренды (лизинг);</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3) договор займа;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4) договор финансирования под уступку денежного требования;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5) обязательства, связанные с заключением договора об уступке права требования;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6) обязательства вследствие причинения вреда (финансовые);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8) обязательства по уплате алиментов (если по состоянию на отчетную дату сумма невыплаченных алиментов равна или превышает 500 000 руб.);</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10) выкупленная дебиторская задолженность;</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11) финансовые обязательства, участником которой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12) иные обязательства, в том числе установленные решением суда.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157. При этом в данном подразделе не указываются, например, договор срочного банковского вклада.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158. </w:t>
      </w:r>
      <w:r w:rsidRPr="00BE7F7B">
        <w:rPr>
          <w:rFonts w:ascii="Tahoma" w:eastAsia="Times New Roman" w:hAnsi="Tahoma" w:cs="Tahoma"/>
          <w:b/>
          <w:bCs/>
          <w:color w:val="868686"/>
          <w:sz w:val="18"/>
        </w:rPr>
        <w:t>Отдельные виды срочных обязательств финансового характера</w:t>
      </w:r>
      <w:r w:rsidRPr="00BE7F7B">
        <w:rPr>
          <w:rFonts w:ascii="Tahoma" w:eastAsia="Times New Roman" w:hAnsi="Tahoma" w:cs="Tahoma"/>
          <w:color w:val="868686"/>
          <w:sz w:val="18"/>
          <w:szCs w:val="18"/>
        </w:rPr>
        <w:t>:</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1) участие в долевом строительстве объекта недвижимости.</w:t>
      </w:r>
      <w:r w:rsidRPr="00BE7F7B">
        <w:rPr>
          <w:rFonts w:ascii="Tahoma" w:eastAsia="Times New Roman" w:hAnsi="Tahoma" w:cs="Tahoma"/>
          <w:color w:val="868686"/>
          <w:sz w:val="18"/>
          <w:szCs w:val="18"/>
        </w:rPr>
        <w:t>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w:t>
      </w:r>
      <w:r w:rsidRPr="00BE7F7B">
        <w:rPr>
          <w:rFonts w:ascii="Tahoma" w:eastAsia="Times New Roman" w:hAnsi="Tahoma" w:cs="Tahoma"/>
          <w:color w:val="868686"/>
          <w:sz w:val="18"/>
          <w:szCs w:val="18"/>
        </w:rPr>
        <w:lastRenderedPageBreak/>
        <w:t>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2) обязательства по ипотеке в случае разделения суммы кредита между супругами.</w:t>
      </w:r>
      <w:r w:rsidRPr="00BE7F7B">
        <w:rPr>
          <w:rFonts w:ascii="Tahoma" w:eastAsia="Times New Roman" w:hAnsi="Tahoma" w:cs="Tahoma"/>
          <w:color w:val="868686"/>
          <w:sz w:val="18"/>
          <w:szCs w:val="18"/>
        </w:rPr>
        <w:t>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3) обязательства в соответствии с Законом Российской Федерации от 27 ноября 1992 года №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w:t>
      </w:r>
      <w:r w:rsidRPr="00BE7F7B">
        <w:rPr>
          <w:rFonts w:ascii="Tahoma" w:eastAsia="Times New Roman" w:hAnsi="Tahoma" w:cs="Tahoma"/>
          <w:color w:val="868686"/>
          <w:sz w:val="18"/>
          <w:szCs w:val="18"/>
        </w:rPr>
        <w:t>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В графе 2 подраздела 6.2 справки указывается вид страхования, графе 3 подраздела 6.2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 «Сумма обязательства» указывается страховая сумма по договору.</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BE7F7B">
        <w:rPr>
          <w:rFonts w:ascii="Tahoma" w:eastAsia="Times New Roman" w:hAnsi="Tahoma" w:cs="Tahoma"/>
          <w:color w:val="868686"/>
          <w:sz w:val="18"/>
          <w:szCs w:val="18"/>
        </w:rPr>
        <w:t>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b/>
          <w:bCs/>
          <w:color w:val="868686"/>
          <w:sz w:val="1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 xml:space="preserve">159. 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w:t>
      </w:r>
      <w:r w:rsidRPr="00BE7F7B">
        <w:rPr>
          <w:rFonts w:ascii="Tahoma" w:eastAsia="Times New Roman" w:hAnsi="Tahoma" w:cs="Tahoma"/>
          <w:color w:val="868686"/>
          <w:sz w:val="18"/>
          <w:szCs w:val="18"/>
        </w:rPr>
        <w:lastRenderedPageBreak/>
        <w:t>в течение отчетного периода в результате безвозмездной сделки, а также, например, сведения об утилизации автомобиля.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160.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161.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При этом уничтоженные объекты имущества не подлежат отражению в данном разделе справки.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162. Договор мены не подлежит отражению в данном разделе справки, так как он является возмездным.</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163. Каждый объект безвозмездной сделки указывается отдельно.</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164.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82 настоящих Методических рекомендаций), местонахождение (адрес) в соответствии с пунктами 90-91 настоящих Методических рекомендаций, площадь (кв. м) в соответствии с пунктом 92 настоящих Методических рекомендаций.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165. В строке «Транспортные средства» рекомендуется указывать вид, марку, модель транспортного средства, год изготовления, место регистрации.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166.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130 настоящих Методических рекомендаций, местонахождение организации (адрес), уставный капитал в соответствии с пунктом 131 настоящих Методических рекомендаций, доли участия в соответствии с пунктом 132 настоящих Методических рекомендаций.</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167. В графе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BE7F7B" w:rsidRPr="00BE7F7B" w:rsidRDefault="00BE7F7B" w:rsidP="00BE7F7B">
      <w:pPr>
        <w:shd w:val="clear" w:color="auto" w:fill="F7F7F7"/>
        <w:spacing w:before="75" w:after="75" w:line="240" w:lineRule="auto"/>
        <w:jc w:val="both"/>
        <w:rPr>
          <w:rFonts w:ascii="Tahoma" w:eastAsia="Times New Roman" w:hAnsi="Tahoma" w:cs="Tahoma"/>
          <w:color w:val="868686"/>
          <w:sz w:val="18"/>
          <w:szCs w:val="18"/>
        </w:rPr>
      </w:pPr>
      <w:r w:rsidRPr="00BE7F7B">
        <w:rPr>
          <w:rFonts w:ascii="Tahoma" w:eastAsia="Times New Roman" w:hAnsi="Tahoma" w:cs="Tahoma"/>
          <w:color w:val="868686"/>
          <w:sz w:val="18"/>
          <w:szCs w:val="18"/>
        </w:rPr>
        <w:t>168.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836812" w:rsidRPr="00BE7F7B" w:rsidRDefault="00ED602C" w:rsidP="00BE7F7B">
      <w:r w:rsidRPr="00BE7F7B">
        <w:t xml:space="preserve"> </w:t>
      </w:r>
    </w:p>
    <w:sectPr w:rsidR="00836812" w:rsidRPr="00BE7F7B" w:rsidSect="00EA2E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57F1C"/>
    <w:multiLevelType w:val="hybridMultilevel"/>
    <w:tmpl w:val="5094B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1E2E85"/>
    <w:multiLevelType w:val="multilevel"/>
    <w:tmpl w:val="A3D831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836812"/>
    <w:rsid w:val="000020E9"/>
    <w:rsid w:val="00032506"/>
    <w:rsid w:val="000379BD"/>
    <w:rsid w:val="00047DB2"/>
    <w:rsid w:val="000868DE"/>
    <w:rsid w:val="000959D2"/>
    <w:rsid w:val="000A4643"/>
    <w:rsid w:val="000A5227"/>
    <w:rsid w:val="000C2463"/>
    <w:rsid w:val="000F552D"/>
    <w:rsid w:val="00101BCE"/>
    <w:rsid w:val="00110A45"/>
    <w:rsid w:val="00143B12"/>
    <w:rsid w:val="00150E9C"/>
    <w:rsid w:val="001E2A43"/>
    <w:rsid w:val="002039B5"/>
    <w:rsid w:val="00232091"/>
    <w:rsid w:val="0028283C"/>
    <w:rsid w:val="00285331"/>
    <w:rsid w:val="00292BED"/>
    <w:rsid w:val="00292C26"/>
    <w:rsid w:val="00297A0F"/>
    <w:rsid w:val="002B1A5D"/>
    <w:rsid w:val="002C518C"/>
    <w:rsid w:val="002D2253"/>
    <w:rsid w:val="0032570F"/>
    <w:rsid w:val="003261F7"/>
    <w:rsid w:val="00331256"/>
    <w:rsid w:val="00355F5B"/>
    <w:rsid w:val="003958B4"/>
    <w:rsid w:val="003A492D"/>
    <w:rsid w:val="003C17D9"/>
    <w:rsid w:val="003C42E6"/>
    <w:rsid w:val="003E39D9"/>
    <w:rsid w:val="003F0DEE"/>
    <w:rsid w:val="00424BA4"/>
    <w:rsid w:val="00432447"/>
    <w:rsid w:val="00444D3A"/>
    <w:rsid w:val="004551B1"/>
    <w:rsid w:val="00490BCB"/>
    <w:rsid w:val="004A120C"/>
    <w:rsid w:val="004A518B"/>
    <w:rsid w:val="004C772A"/>
    <w:rsid w:val="004E2425"/>
    <w:rsid w:val="004F140A"/>
    <w:rsid w:val="00513006"/>
    <w:rsid w:val="00544CD9"/>
    <w:rsid w:val="005C5EA0"/>
    <w:rsid w:val="005D17E7"/>
    <w:rsid w:val="005D5C3F"/>
    <w:rsid w:val="00655F49"/>
    <w:rsid w:val="00661653"/>
    <w:rsid w:val="00695C72"/>
    <w:rsid w:val="006963CA"/>
    <w:rsid w:val="006A7365"/>
    <w:rsid w:val="006F293E"/>
    <w:rsid w:val="00704EBF"/>
    <w:rsid w:val="00710483"/>
    <w:rsid w:val="007516A9"/>
    <w:rsid w:val="00781D9F"/>
    <w:rsid w:val="007C2154"/>
    <w:rsid w:val="00813AE8"/>
    <w:rsid w:val="00836812"/>
    <w:rsid w:val="00893D24"/>
    <w:rsid w:val="00894DD1"/>
    <w:rsid w:val="008C7163"/>
    <w:rsid w:val="008E6156"/>
    <w:rsid w:val="009010A4"/>
    <w:rsid w:val="00924E24"/>
    <w:rsid w:val="00971AF9"/>
    <w:rsid w:val="00981227"/>
    <w:rsid w:val="009D388F"/>
    <w:rsid w:val="00A13363"/>
    <w:rsid w:val="00A23500"/>
    <w:rsid w:val="00A3177D"/>
    <w:rsid w:val="00A33658"/>
    <w:rsid w:val="00A338C0"/>
    <w:rsid w:val="00A37D84"/>
    <w:rsid w:val="00A55926"/>
    <w:rsid w:val="00A87B8F"/>
    <w:rsid w:val="00AA0712"/>
    <w:rsid w:val="00AA43E9"/>
    <w:rsid w:val="00AC40A4"/>
    <w:rsid w:val="00B16037"/>
    <w:rsid w:val="00B51F00"/>
    <w:rsid w:val="00B65A34"/>
    <w:rsid w:val="00BC6656"/>
    <w:rsid w:val="00BE3487"/>
    <w:rsid w:val="00BE7EA8"/>
    <w:rsid w:val="00BE7F7B"/>
    <w:rsid w:val="00C009E2"/>
    <w:rsid w:val="00C02E30"/>
    <w:rsid w:val="00C66C5B"/>
    <w:rsid w:val="00CD2C0D"/>
    <w:rsid w:val="00D01394"/>
    <w:rsid w:val="00D10015"/>
    <w:rsid w:val="00D103AC"/>
    <w:rsid w:val="00D31827"/>
    <w:rsid w:val="00D46F9D"/>
    <w:rsid w:val="00D556C6"/>
    <w:rsid w:val="00D556D1"/>
    <w:rsid w:val="00D627AE"/>
    <w:rsid w:val="00DA3D38"/>
    <w:rsid w:val="00DB04F3"/>
    <w:rsid w:val="00DB26A7"/>
    <w:rsid w:val="00DB592E"/>
    <w:rsid w:val="00DE1ED9"/>
    <w:rsid w:val="00E07F2C"/>
    <w:rsid w:val="00E22301"/>
    <w:rsid w:val="00E5142B"/>
    <w:rsid w:val="00E56A08"/>
    <w:rsid w:val="00E656E1"/>
    <w:rsid w:val="00EA2E9B"/>
    <w:rsid w:val="00EC3720"/>
    <w:rsid w:val="00ED528F"/>
    <w:rsid w:val="00ED602C"/>
    <w:rsid w:val="00EE5F23"/>
    <w:rsid w:val="00EF7610"/>
    <w:rsid w:val="00F40FE1"/>
    <w:rsid w:val="00F51161"/>
    <w:rsid w:val="00F53414"/>
    <w:rsid w:val="00F724A7"/>
    <w:rsid w:val="00FA36A2"/>
    <w:rsid w:val="00FA797F"/>
    <w:rsid w:val="00FC4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E9B"/>
  </w:style>
  <w:style w:type="paragraph" w:styleId="2">
    <w:name w:val="heading 2"/>
    <w:basedOn w:val="a"/>
    <w:link w:val="20"/>
    <w:uiPriority w:val="9"/>
    <w:qFormat/>
    <w:rsid w:val="006F29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unhideWhenUsed/>
    <w:rsid w:val="00A338C0"/>
    <w:pPr>
      <w:spacing w:after="0" w:line="240" w:lineRule="auto"/>
      <w:ind w:firstLine="567"/>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A338C0"/>
    <w:rPr>
      <w:rFonts w:ascii="Times New Roman" w:eastAsia="Times New Roman" w:hAnsi="Times New Roman" w:cs="Times New Roman"/>
      <w:sz w:val="28"/>
      <w:szCs w:val="20"/>
    </w:rPr>
  </w:style>
  <w:style w:type="paragraph" w:styleId="a6">
    <w:name w:val="List Paragraph"/>
    <w:basedOn w:val="a"/>
    <w:uiPriority w:val="34"/>
    <w:qFormat/>
    <w:rsid w:val="004A518B"/>
    <w:pPr>
      <w:ind w:left="720"/>
      <w:contextualSpacing/>
    </w:pPr>
  </w:style>
  <w:style w:type="paragraph" w:styleId="a7">
    <w:name w:val="Balloon Text"/>
    <w:basedOn w:val="a"/>
    <w:link w:val="a8"/>
    <w:uiPriority w:val="99"/>
    <w:semiHidden/>
    <w:unhideWhenUsed/>
    <w:rsid w:val="00E223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2301"/>
    <w:rPr>
      <w:rFonts w:ascii="Tahoma" w:hAnsi="Tahoma" w:cs="Tahoma"/>
      <w:sz w:val="16"/>
      <w:szCs w:val="16"/>
    </w:rPr>
  </w:style>
  <w:style w:type="paragraph" w:customStyle="1" w:styleId="a9">
    <w:name w:val="Нормальный (таблица)"/>
    <w:basedOn w:val="a"/>
    <w:next w:val="a"/>
    <w:uiPriority w:val="99"/>
    <w:rsid w:val="00292C26"/>
    <w:pPr>
      <w:widowControl w:val="0"/>
      <w:autoSpaceDE w:val="0"/>
      <w:autoSpaceDN w:val="0"/>
      <w:adjustRightInd w:val="0"/>
      <w:spacing w:after="0" w:line="240" w:lineRule="auto"/>
      <w:jc w:val="both"/>
    </w:pPr>
    <w:rPr>
      <w:rFonts w:ascii="Arial" w:hAnsi="Arial" w:cs="Arial"/>
      <w:sz w:val="24"/>
      <w:szCs w:val="24"/>
    </w:rPr>
  </w:style>
  <w:style w:type="character" w:customStyle="1" w:styleId="20">
    <w:name w:val="Заголовок 2 Знак"/>
    <w:basedOn w:val="a0"/>
    <w:link w:val="2"/>
    <w:uiPriority w:val="9"/>
    <w:rsid w:val="006F293E"/>
    <w:rPr>
      <w:rFonts w:ascii="Times New Roman" w:eastAsia="Times New Roman" w:hAnsi="Times New Roman" w:cs="Times New Roman"/>
      <w:b/>
      <w:bCs/>
      <w:sz w:val="36"/>
      <w:szCs w:val="36"/>
    </w:rPr>
  </w:style>
  <w:style w:type="paragraph" w:styleId="aa">
    <w:name w:val="Normal (Web)"/>
    <w:basedOn w:val="a"/>
    <w:uiPriority w:val="99"/>
    <w:unhideWhenUsed/>
    <w:rsid w:val="006F293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BE7F7B"/>
    <w:rPr>
      <w:color w:val="0000FF"/>
      <w:u w:val="single"/>
    </w:rPr>
  </w:style>
  <w:style w:type="character" w:styleId="ac">
    <w:name w:val="Strong"/>
    <w:basedOn w:val="a0"/>
    <w:uiPriority w:val="22"/>
    <w:qFormat/>
    <w:rsid w:val="00BE7F7B"/>
    <w:rPr>
      <w:b/>
      <w:bCs/>
    </w:rPr>
  </w:style>
</w:styles>
</file>

<file path=word/webSettings.xml><?xml version="1.0" encoding="utf-8"?>
<w:webSettings xmlns:r="http://schemas.openxmlformats.org/officeDocument/2006/relationships" xmlns:w="http://schemas.openxmlformats.org/wordprocessingml/2006/main">
  <w:divs>
    <w:div w:id="372776842">
      <w:bodyDiv w:val="1"/>
      <w:marLeft w:val="0"/>
      <w:marRight w:val="0"/>
      <w:marTop w:val="0"/>
      <w:marBottom w:val="0"/>
      <w:divBdr>
        <w:top w:val="none" w:sz="0" w:space="0" w:color="auto"/>
        <w:left w:val="none" w:sz="0" w:space="0" w:color="auto"/>
        <w:bottom w:val="none" w:sz="0" w:space="0" w:color="auto"/>
        <w:right w:val="none" w:sz="0" w:space="0" w:color="auto"/>
      </w:divBdr>
    </w:div>
    <w:div w:id="1424691549">
      <w:bodyDiv w:val="1"/>
      <w:marLeft w:val="0"/>
      <w:marRight w:val="0"/>
      <w:marTop w:val="0"/>
      <w:marBottom w:val="0"/>
      <w:divBdr>
        <w:top w:val="none" w:sz="0" w:space="0" w:color="auto"/>
        <w:left w:val="none" w:sz="0" w:space="0" w:color="auto"/>
        <w:bottom w:val="none" w:sz="0" w:space="0" w:color="auto"/>
        <w:right w:val="none" w:sz="0" w:space="0" w:color="auto"/>
      </w:divBdr>
    </w:div>
    <w:div w:id="1634477443">
      <w:bodyDiv w:val="1"/>
      <w:marLeft w:val="0"/>
      <w:marRight w:val="0"/>
      <w:marTop w:val="0"/>
      <w:marBottom w:val="0"/>
      <w:divBdr>
        <w:top w:val="none" w:sz="0" w:space="0" w:color="auto"/>
        <w:left w:val="none" w:sz="0" w:space="0" w:color="auto"/>
        <w:bottom w:val="none" w:sz="0" w:space="0" w:color="auto"/>
        <w:right w:val="none" w:sz="0" w:space="0" w:color="auto"/>
      </w:divBdr>
    </w:div>
    <w:div w:id="1759866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page/index/spravki_bk" TargetMode="External"/><Relationship Id="rId18" Type="http://schemas.openxmlformats.org/officeDocument/2006/relationships/hyperlink" Target="http://www.cbr.ru/hd_base/?PrtId=metall_base_ne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br.ru/credit/likvidbase/"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s://www.nalog.ru/rn77/fl/interest/inf_baccount/"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www.cbr.ru/currency_base/daily.aspx"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currency_base/daily.aspx"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www.cbr.ru/currency_base/daily.aspx" TargetMode="External"/><Relationship Id="rId22" Type="http://schemas.openxmlformats.org/officeDocument/2006/relationships/hyperlink" Target="http://www.cbr.ru/currency_base/dail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18280</Words>
  <Characters>104201</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ReBuS</dc:creator>
  <cp:lastModifiedBy>Microsoft</cp:lastModifiedBy>
  <cp:revision>2</cp:revision>
  <cp:lastPrinted>2020-03-11T12:52:00Z</cp:lastPrinted>
  <dcterms:created xsi:type="dcterms:W3CDTF">2020-07-16T12:21:00Z</dcterms:created>
  <dcterms:modified xsi:type="dcterms:W3CDTF">2020-07-16T12:21:00Z</dcterms:modified>
</cp:coreProperties>
</file>