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3E" w:rsidRPr="006F293E" w:rsidRDefault="006F293E" w:rsidP="006F293E">
      <w:pPr>
        <w:shd w:val="clear" w:color="auto" w:fill="F7F7F7"/>
        <w:spacing w:after="75" w:line="312" w:lineRule="atLeast"/>
        <w:outlineLvl w:val="1"/>
        <w:rPr>
          <w:rFonts w:ascii="Times New Roman" w:eastAsia="Times New Roman" w:hAnsi="Times New Roman" w:cs="Times New Roman"/>
          <w:b/>
          <w:bCs/>
          <w:color w:val="7A7A7A"/>
          <w:sz w:val="24"/>
          <w:szCs w:val="24"/>
        </w:rPr>
      </w:pPr>
      <w:r w:rsidRPr="006F293E">
        <w:rPr>
          <w:rFonts w:ascii="Times New Roman" w:eastAsia="Times New Roman" w:hAnsi="Times New Roman" w:cs="Times New Roman"/>
          <w:b/>
          <w:bCs/>
          <w:color w:val="7A7A7A"/>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6F293E" w:rsidRPr="006F293E" w:rsidRDefault="006F293E" w:rsidP="006F293E">
      <w:pPr>
        <w:numPr>
          <w:ilvl w:val="0"/>
          <w:numId w:val="2"/>
        </w:numPr>
        <w:shd w:val="clear" w:color="auto" w:fill="F7F7F7"/>
        <w:spacing w:after="0" w:line="240" w:lineRule="auto"/>
        <w:ind w:left="0"/>
        <w:jc w:val="right"/>
        <w:rPr>
          <w:rFonts w:ascii="Times New Roman" w:eastAsia="Times New Roman" w:hAnsi="Times New Roman" w:cs="Times New Roman"/>
          <w:color w:val="868686"/>
          <w:sz w:val="18"/>
          <w:szCs w:val="18"/>
        </w:rPr>
      </w:pPr>
      <w:r w:rsidRPr="006F293E">
        <w:rPr>
          <w:rFonts w:ascii="Times New Roman" w:eastAsia="Times New Roman" w:hAnsi="Times New Roman" w:cs="Times New Roman"/>
          <w:noProof/>
          <w:color w:val="7A7A7A"/>
          <w:sz w:val="18"/>
          <w:szCs w:val="18"/>
        </w:rPr>
        <w:drawing>
          <wp:inline distT="0" distB="0" distL="0" distR="0">
            <wp:extent cx="114300" cy="114300"/>
            <wp:effectExtent l="19050" t="0" r="0" b="0"/>
            <wp:docPr id="3" name="Рисунок 1" descr="П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tooltip="&quot;Печать&quot;"/>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F293E">
        <w:rPr>
          <w:rFonts w:ascii="Times New Roman" w:eastAsia="Times New Roman" w:hAnsi="Times New Roman" w:cs="Times New Roman"/>
          <w:color w:val="868686"/>
          <w:sz w:val="18"/>
          <w:szCs w:val="18"/>
        </w:rPr>
        <w:t> </w:t>
      </w:r>
    </w:p>
    <w:p w:rsidR="006F293E" w:rsidRPr="006F293E" w:rsidRDefault="006F293E" w:rsidP="006F293E">
      <w:pPr>
        <w:numPr>
          <w:ilvl w:val="0"/>
          <w:numId w:val="2"/>
        </w:numPr>
        <w:shd w:val="clear" w:color="auto" w:fill="F7F7F7"/>
        <w:spacing w:after="0" w:line="240" w:lineRule="auto"/>
        <w:ind w:left="0"/>
        <w:jc w:val="right"/>
        <w:rPr>
          <w:rFonts w:ascii="Times New Roman" w:eastAsia="Times New Roman" w:hAnsi="Times New Roman" w:cs="Times New Roman"/>
          <w:color w:val="868686"/>
          <w:sz w:val="18"/>
          <w:szCs w:val="18"/>
        </w:rPr>
      </w:pPr>
      <w:r w:rsidRPr="006F293E">
        <w:rPr>
          <w:rFonts w:ascii="Times New Roman" w:eastAsia="Times New Roman" w:hAnsi="Times New Roman" w:cs="Times New Roman"/>
          <w:noProof/>
          <w:color w:val="7A7A7A"/>
          <w:sz w:val="18"/>
          <w:szCs w:val="18"/>
        </w:rPr>
        <w:drawing>
          <wp:inline distT="0" distB="0" distL="0" distR="0">
            <wp:extent cx="114300" cy="114300"/>
            <wp:effectExtent l="19050" t="0" r="0" b="0"/>
            <wp:docPr id="1" name="Рисунок 2"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quot;"/>
                    </pic:cNvPr>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6F293E" w:rsidRPr="006F293E" w:rsidRDefault="006F293E" w:rsidP="006F293E">
      <w:pPr>
        <w:shd w:val="clear" w:color="auto" w:fill="F7F7F7"/>
        <w:spacing w:before="75" w:after="75" w:line="240" w:lineRule="auto"/>
        <w:jc w:val="both"/>
        <w:rPr>
          <w:rFonts w:ascii="Times New Roman" w:eastAsia="Times New Roman" w:hAnsi="Times New Roman" w:cs="Times New Roman"/>
          <w:color w:val="868686"/>
          <w:sz w:val="18"/>
          <w:szCs w:val="18"/>
        </w:rPr>
      </w:pPr>
      <w:r w:rsidRPr="006F293E">
        <w:rPr>
          <w:rFonts w:ascii="Times New Roman" w:eastAsia="Times New Roman" w:hAnsi="Times New Roman" w:cs="Times New Roman"/>
          <w:color w:val="868686"/>
          <w:sz w:val="18"/>
          <w:szCs w:val="18"/>
        </w:rPr>
        <w:t xml:space="preserve">В течение последних лет является устоявшейся практика подготовки Министерством труда и социальной защиты Российской </w:t>
      </w:r>
      <w:proofErr w:type="gramStart"/>
      <w:r w:rsidRPr="006F293E">
        <w:rPr>
          <w:rFonts w:ascii="Times New Roman" w:eastAsia="Times New Roman" w:hAnsi="Times New Roman" w:cs="Times New Roman"/>
          <w:color w:val="868686"/>
          <w:sz w:val="18"/>
          <w:szCs w:val="18"/>
        </w:rPr>
        <w:t>Федерации</w:t>
      </w:r>
      <w:proofErr w:type="gramEnd"/>
      <w:r w:rsidRPr="006F293E">
        <w:rPr>
          <w:rFonts w:ascii="Times New Roman" w:eastAsia="Times New Roman" w:hAnsi="Times New Roman" w:cs="Times New Roman"/>
          <w:color w:val="868686"/>
          <w:sz w:val="18"/>
          <w:szCs w:val="18"/>
        </w:rP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r w:rsidRPr="006F293E">
        <w:rPr>
          <w:rFonts w:ascii="Times New Roman" w:eastAsia="Times New Roman" w:hAnsi="Times New Roman" w:cs="Times New Roman"/>
          <w:color w:val="868686"/>
          <w:sz w:val="18"/>
          <w:szCs w:val="18"/>
        </w:rPr>
        <w:b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r w:rsidRPr="006F293E">
        <w:rPr>
          <w:rFonts w:ascii="Times New Roman" w:eastAsia="Times New Roman" w:hAnsi="Times New Roman" w:cs="Times New Roman"/>
          <w:color w:val="868686"/>
          <w:sz w:val="18"/>
          <w:szCs w:val="18"/>
        </w:rPr>
        <w:br/>
        <w:t>В ходе использования в работе указанных Методических рекомендаций предлагаем обратить внимание на следующее.</w:t>
      </w:r>
      <w:r w:rsidRPr="006F293E">
        <w:rPr>
          <w:rFonts w:ascii="Times New Roman" w:eastAsia="Times New Roman" w:hAnsi="Times New Roman" w:cs="Times New Roman"/>
          <w:color w:val="868686"/>
          <w:sz w:val="18"/>
          <w:szCs w:val="18"/>
        </w:rPr>
        <w:br/>
        <w:t>1. В преамбуле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r w:rsidRPr="006F293E">
        <w:rPr>
          <w:rFonts w:ascii="Times New Roman" w:eastAsia="Times New Roman" w:hAnsi="Times New Roman" w:cs="Times New Roman"/>
          <w:color w:val="868686"/>
          <w:sz w:val="18"/>
          <w:szCs w:val="18"/>
        </w:rPr>
        <w:br/>
        <w:t>2. 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r w:rsidRPr="006F293E">
        <w:rPr>
          <w:rFonts w:ascii="Times New Roman" w:eastAsia="Times New Roman" w:hAnsi="Times New Roman" w:cs="Times New Roman"/>
          <w:color w:val="868686"/>
          <w:sz w:val="18"/>
          <w:szCs w:val="18"/>
        </w:rPr>
        <w:br/>
        <w:t xml:space="preserve">3. 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6F293E">
        <w:rPr>
          <w:rFonts w:ascii="Times New Roman" w:eastAsia="Times New Roman" w:hAnsi="Times New Roman" w:cs="Times New Roman"/>
          <w:color w:val="868686"/>
          <w:sz w:val="18"/>
          <w:szCs w:val="18"/>
        </w:rPr>
        <w:t>смс-сообщения</w:t>
      </w:r>
      <w:proofErr w:type="spellEnd"/>
      <w:r w:rsidRPr="006F293E">
        <w:rPr>
          <w:rFonts w:ascii="Times New Roman" w:eastAsia="Times New Roman" w:hAnsi="Times New Roman" w:cs="Times New Roman"/>
          <w:color w:val="868686"/>
          <w:sz w:val="18"/>
          <w:szCs w:val="18"/>
        </w:rPr>
        <w:t>.</w:t>
      </w:r>
      <w:r w:rsidRPr="006F293E">
        <w:rPr>
          <w:rFonts w:ascii="Times New Roman" w:eastAsia="Times New Roman" w:hAnsi="Times New Roman" w:cs="Times New Roman"/>
          <w:color w:val="868686"/>
          <w:sz w:val="18"/>
          <w:szCs w:val="18"/>
        </w:rPr>
        <w:br/>
        <w:t>4. Также в Методических рекомендациях 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r w:rsidRPr="006F293E">
        <w:rPr>
          <w:rFonts w:ascii="Times New Roman" w:eastAsia="Times New Roman" w:hAnsi="Times New Roman" w:cs="Times New Roman"/>
          <w:color w:val="868686"/>
          <w:sz w:val="18"/>
          <w:szCs w:val="18"/>
        </w:rPr>
        <w:br/>
        <w:t>5. Дополнительно уточнено, что выплаты денежных сумм, осуществленные на основании договоров страхования, подлежат отражению в разделе 1 справки. При этом в отношении договоров страхования, поименованных в подпункте 3 пункта 158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6F293E">
        <w:rPr>
          <w:rFonts w:ascii="Times New Roman" w:eastAsia="Times New Roman" w:hAnsi="Times New Roman" w:cs="Times New Roman"/>
          <w:color w:val="868686"/>
          <w:sz w:val="18"/>
          <w:szCs w:val="18"/>
        </w:rPr>
        <w:br/>
        <w:t>6. 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sidRPr="006F293E">
        <w:rPr>
          <w:rFonts w:ascii="Times New Roman" w:eastAsia="Times New Roman" w:hAnsi="Times New Roman" w:cs="Times New Roman"/>
          <w:color w:val="868686"/>
          <w:sz w:val="18"/>
          <w:szCs w:val="18"/>
        </w:rPr>
        <w:br/>
        <w:t>7. 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r w:rsidRPr="006F293E">
        <w:rPr>
          <w:rFonts w:ascii="Times New Roman" w:eastAsia="Times New Roman" w:hAnsi="Times New Roman" w:cs="Times New Roman"/>
          <w:color w:val="868686"/>
          <w:sz w:val="18"/>
          <w:szCs w:val="18"/>
        </w:rPr>
        <w:br/>
        <w:t>8. 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подразделе 6.1 раздела 6 справки).</w:t>
      </w:r>
      <w:r w:rsidRPr="006F293E">
        <w:rPr>
          <w:rFonts w:ascii="Times New Roman" w:eastAsia="Times New Roman" w:hAnsi="Times New Roman" w:cs="Times New Roman"/>
          <w:color w:val="868686"/>
          <w:sz w:val="18"/>
          <w:szCs w:val="18"/>
        </w:rPr>
        <w:br/>
        <w:t>9. 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r w:rsidRPr="006F293E">
        <w:rPr>
          <w:rFonts w:ascii="Times New Roman" w:eastAsia="Times New Roman" w:hAnsi="Times New Roman" w:cs="Times New Roman"/>
          <w:color w:val="868686"/>
          <w:sz w:val="18"/>
          <w:szCs w:val="18"/>
        </w:rPr>
        <w:br/>
        <w:t>10. 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r w:rsidRPr="006F293E">
        <w:rPr>
          <w:rFonts w:ascii="Times New Roman" w:eastAsia="Times New Roman" w:hAnsi="Times New Roman" w:cs="Times New Roman"/>
          <w:color w:val="868686"/>
          <w:sz w:val="18"/>
          <w:szCs w:val="18"/>
        </w:rPr>
        <w:br/>
        <w:t xml:space="preserve">11. В разделе 4 справки необходимо отражать информацию о номинальных счетах и счетах </w:t>
      </w:r>
      <w:proofErr w:type="spellStart"/>
      <w:r w:rsidRPr="006F293E">
        <w:rPr>
          <w:rFonts w:ascii="Times New Roman" w:eastAsia="Times New Roman" w:hAnsi="Times New Roman" w:cs="Times New Roman"/>
          <w:color w:val="868686"/>
          <w:sz w:val="18"/>
          <w:szCs w:val="18"/>
        </w:rPr>
        <w:t>эскроу</w:t>
      </w:r>
      <w:proofErr w:type="spellEnd"/>
      <w:r w:rsidRPr="006F293E">
        <w:rPr>
          <w:rFonts w:ascii="Times New Roman" w:eastAsia="Times New Roman" w:hAnsi="Times New Roman" w:cs="Times New Roman"/>
          <w:color w:val="868686"/>
          <w:sz w:val="18"/>
          <w:szCs w:val="18"/>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r w:rsidRPr="006F293E">
        <w:rPr>
          <w:rFonts w:ascii="Times New Roman" w:eastAsia="Times New Roman" w:hAnsi="Times New Roman" w:cs="Times New Roman"/>
          <w:color w:val="868686"/>
          <w:sz w:val="18"/>
          <w:szCs w:val="18"/>
        </w:rPr>
        <w:br/>
        <w:t>12. 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rsidRPr="006F293E">
        <w:rPr>
          <w:rFonts w:ascii="Times New Roman" w:eastAsia="Times New Roman" w:hAnsi="Times New Roman" w:cs="Times New Roman"/>
          <w:color w:val="868686"/>
          <w:sz w:val="18"/>
          <w:szCs w:val="18"/>
        </w:rPr>
        <w:br/>
        <w:t xml:space="preserve">13. </w:t>
      </w:r>
      <w:proofErr w:type="gramStart"/>
      <w:r w:rsidRPr="006F293E">
        <w:rPr>
          <w:rFonts w:ascii="Times New Roman" w:eastAsia="Times New Roman" w:hAnsi="Times New Roman" w:cs="Times New Roman"/>
          <w:color w:val="868686"/>
          <w:sz w:val="18"/>
          <w:szCs w:val="18"/>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r w:rsidRPr="006F293E">
        <w:rPr>
          <w:rFonts w:ascii="Times New Roman" w:eastAsia="Times New Roman" w:hAnsi="Times New Roman" w:cs="Times New Roman"/>
          <w:color w:val="868686"/>
          <w:sz w:val="18"/>
          <w:szCs w:val="18"/>
        </w:rPr>
        <w:br/>
        <w:t>14.</w:t>
      </w:r>
      <w:proofErr w:type="gramEnd"/>
      <w:r w:rsidRPr="006F293E">
        <w:rPr>
          <w:rFonts w:ascii="Times New Roman" w:eastAsia="Times New Roman" w:hAnsi="Times New Roman" w:cs="Times New Roman"/>
          <w:color w:val="868686"/>
          <w:sz w:val="18"/>
          <w:szCs w:val="18"/>
        </w:rPr>
        <w:t xml:space="preserve"> Также в Методических рекомендациях указано, что информация о наличии банковских счетов может быть получена лицом, в отношении которого представляется справка, у ФНС России.</w:t>
      </w:r>
      <w:r w:rsidRPr="006F293E">
        <w:rPr>
          <w:rFonts w:ascii="Times New Roman" w:eastAsia="Times New Roman" w:hAnsi="Times New Roman" w:cs="Times New Roman"/>
          <w:color w:val="868686"/>
          <w:sz w:val="18"/>
          <w:szCs w:val="18"/>
        </w:rPr>
        <w:br/>
      </w:r>
      <w:r w:rsidRPr="006F293E">
        <w:rPr>
          <w:rFonts w:ascii="Times New Roman" w:eastAsia="Times New Roman" w:hAnsi="Times New Roman" w:cs="Times New Roman"/>
          <w:color w:val="868686"/>
          <w:sz w:val="18"/>
          <w:szCs w:val="18"/>
        </w:rPr>
        <w:lastRenderedPageBreak/>
        <w:t>15. 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подразделе 3.1 справки одного из супругов (аналогично в отношении несовершеннолетних детей)).</w:t>
      </w:r>
      <w:r w:rsidRPr="006F293E">
        <w:rPr>
          <w:rFonts w:ascii="Times New Roman" w:eastAsia="Times New Roman" w:hAnsi="Times New Roman" w:cs="Times New Roman"/>
          <w:color w:val="868686"/>
          <w:sz w:val="18"/>
          <w:szCs w:val="18"/>
        </w:rPr>
        <w:br/>
        <w:t>16. 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r w:rsidRPr="006F293E">
        <w:rPr>
          <w:rFonts w:ascii="Times New Roman" w:eastAsia="Times New Roman" w:hAnsi="Times New Roman" w:cs="Times New Roman"/>
          <w:color w:val="868686"/>
          <w:sz w:val="18"/>
          <w:szCs w:val="18"/>
        </w:rPr>
        <w:br/>
        <w:t xml:space="preserve">17. </w:t>
      </w:r>
      <w:proofErr w:type="gramStart"/>
      <w:r w:rsidRPr="006F293E">
        <w:rPr>
          <w:rFonts w:ascii="Times New Roman" w:eastAsia="Times New Roman" w:hAnsi="Times New Roman" w:cs="Times New Roman"/>
          <w:color w:val="868686"/>
          <w:sz w:val="18"/>
          <w:szCs w:val="18"/>
        </w:rPr>
        <w:t>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r w:rsidRPr="006F293E">
        <w:rPr>
          <w:rFonts w:ascii="Times New Roman" w:eastAsia="Times New Roman" w:hAnsi="Times New Roman" w:cs="Times New Roman"/>
          <w:color w:val="868686"/>
          <w:sz w:val="18"/>
          <w:szCs w:val="18"/>
        </w:rPr>
        <w:br/>
        <w:t>18.</w:t>
      </w:r>
      <w:proofErr w:type="gramEnd"/>
      <w:r w:rsidRPr="006F293E">
        <w:rPr>
          <w:rFonts w:ascii="Times New Roman" w:eastAsia="Times New Roman" w:hAnsi="Times New Roman" w:cs="Times New Roman"/>
          <w:color w:val="868686"/>
          <w:sz w:val="18"/>
          <w:szCs w:val="18"/>
        </w:rPr>
        <w:t xml:space="preserve"> 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"Об организации страхового дела в Российской Федерации".</w:t>
      </w:r>
      <w:r w:rsidRPr="006F293E">
        <w:rPr>
          <w:rFonts w:ascii="Times New Roman" w:eastAsia="Times New Roman" w:hAnsi="Times New Roman" w:cs="Times New Roman"/>
          <w:color w:val="868686"/>
          <w:sz w:val="18"/>
          <w:szCs w:val="18"/>
        </w:rPr>
        <w:br/>
        <w:t>19. 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r w:rsidRPr="006F293E">
        <w:rPr>
          <w:rFonts w:ascii="Times New Roman" w:eastAsia="Times New Roman" w:hAnsi="Times New Roman" w:cs="Times New Roman"/>
          <w:color w:val="868686"/>
          <w:sz w:val="18"/>
          <w:szCs w:val="18"/>
        </w:rPr>
        <w:br/>
        <w:t>20. Положения Методических рекомендаций актуализированы с учетом изменений нормативных правовых актов Российской Федерации.</w:t>
      </w:r>
    </w:p>
    <w:p w:rsidR="00836812" w:rsidRPr="006F293E" w:rsidRDefault="00836812" w:rsidP="000A4643">
      <w:pPr>
        <w:tabs>
          <w:tab w:val="left" w:pos="3540"/>
        </w:tabs>
        <w:spacing w:after="0" w:line="252" w:lineRule="auto"/>
        <w:jc w:val="both"/>
        <w:rPr>
          <w:rFonts w:ascii="Times New Roman" w:eastAsia="Cambria" w:hAnsi="Times New Roman" w:cs="Times New Roman"/>
          <w:sz w:val="28"/>
        </w:rPr>
      </w:pPr>
    </w:p>
    <w:p w:rsidR="00836812" w:rsidRPr="006F293E" w:rsidRDefault="00836812">
      <w:pPr>
        <w:tabs>
          <w:tab w:val="left" w:pos="6705"/>
        </w:tabs>
        <w:spacing w:after="0" w:line="252" w:lineRule="auto"/>
        <w:rPr>
          <w:rFonts w:ascii="Times New Roman" w:eastAsia="Cambria" w:hAnsi="Times New Roman" w:cs="Times New Roman"/>
          <w:sz w:val="28"/>
        </w:rPr>
      </w:pPr>
    </w:p>
    <w:p w:rsidR="00836812" w:rsidRPr="006F293E" w:rsidRDefault="00836812">
      <w:pPr>
        <w:tabs>
          <w:tab w:val="left" w:pos="6705"/>
        </w:tabs>
        <w:spacing w:after="0" w:line="252" w:lineRule="auto"/>
        <w:rPr>
          <w:rFonts w:ascii="Times New Roman" w:eastAsia="Cambria" w:hAnsi="Times New Roman" w:cs="Times New Roman"/>
          <w:sz w:val="28"/>
        </w:rPr>
      </w:pPr>
    </w:p>
    <w:p w:rsidR="00836812" w:rsidRPr="006F293E" w:rsidRDefault="00ED602C">
      <w:pPr>
        <w:spacing w:line="252" w:lineRule="auto"/>
        <w:rPr>
          <w:rFonts w:ascii="Times New Roman" w:eastAsia="Cambria" w:hAnsi="Times New Roman" w:cs="Times New Roman"/>
        </w:rPr>
      </w:pPr>
      <w:r w:rsidRPr="006F293E">
        <w:rPr>
          <w:rFonts w:ascii="Times New Roman" w:eastAsia="Cambria" w:hAnsi="Times New Roman" w:cs="Times New Roman"/>
        </w:rPr>
        <w:t xml:space="preserve">                                                     </w:t>
      </w:r>
    </w:p>
    <w:sectPr w:rsidR="00836812" w:rsidRPr="006F293E" w:rsidSect="00EA2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7F1C"/>
    <w:multiLevelType w:val="hybridMultilevel"/>
    <w:tmpl w:val="5094B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E2E85"/>
    <w:multiLevelType w:val="multilevel"/>
    <w:tmpl w:val="A3D83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36812"/>
    <w:rsid w:val="000020E9"/>
    <w:rsid w:val="00032506"/>
    <w:rsid w:val="000379BD"/>
    <w:rsid w:val="00047DB2"/>
    <w:rsid w:val="000868DE"/>
    <w:rsid w:val="000959D2"/>
    <w:rsid w:val="000A4643"/>
    <w:rsid w:val="000A5227"/>
    <w:rsid w:val="000C2463"/>
    <w:rsid w:val="000F552D"/>
    <w:rsid w:val="00101BCE"/>
    <w:rsid w:val="00110A45"/>
    <w:rsid w:val="00143B12"/>
    <w:rsid w:val="00150E9C"/>
    <w:rsid w:val="001E2A43"/>
    <w:rsid w:val="002039B5"/>
    <w:rsid w:val="00232091"/>
    <w:rsid w:val="0028283C"/>
    <w:rsid w:val="00285331"/>
    <w:rsid w:val="00292BED"/>
    <w:rsid w:val="00292C26"/>
    <w:rsid w:val="00297A0F"/>
    <w:rsid w:val="002B1A5D"/>
    <w:rsid w:val="002C518C"/>
    <w:rsid w:val="002D2253"/>
    <w:rsid w:val="0032570F"/>
    <w:rsid w:val="003261F7"/>
    <w:rsid w:val="00331256"/>
    <w:rsid w:val="00355F5B"/>
    <w:rsid w:val="003958B4"/>
    <w:rsid w:val="003A492D"/>
    <w:rsid w:val="003C17D9"/>
    <w:rsid w:val="003C42E6"/>
    <w:rsid w:val="003E39D9"/>
    <w:rsid w:val="003F0DEE"/>
    <w:rsid w:val="00424BA4"/>
    <w:rsid w:val="00432447"/>
    <w:rsid w:val="00444D3A"/>
    <w:rsid w:val="004551B1"/>
    <w:rsid w:val="00490BCB"/>
    <w:rsid w:val="004A120C"/>
    <w:rsid w:val="004A518B"/>
    <w:rsid w:val="004C772A"/>
    <w:rsid w:val="004E2425"/>
    <w:rsid w:val="004F140A"/>
    <w:rsid w:val="00513006"/>
    <w:rsid w:val="00544CD9"/>
    <w:rsid w:val="005C5EA0"/>
    <w:rsid w:val="005D17E7"/>
    <w:rsid w:val="005D5C3F"/>
    <w:rsid w:val="00655F49"/>
    <w:rsid w:val="00661653"/>
    <w:rsid w:val="00695C72"/>
    <w:rsid w:val="006963CA"/>
    <w:rsid w:val="006A7365"/>
    <w:rsid w:val="006F293E"/>
    <w:rsid w:val="00704EBF"/>
    <w:rsid w:val="00710483"/>
    <w:rsid w:val="007516A9"/>
    <w:rsid w:val="00781D9F"/>
    <w:rsid w:val="007C2154"/>
    <w:rsid w:val="00813AE8"/>
    <w:rsid w:val="00836812"/>
    <w:rsid w:val="00893D24"/>
    <w:rsid w:val="00894DD1"/>
    <w:rsid w:val="008C7163"/>
    <w:rsid w:val="008E6156"/>
    <w:rsid w:val="009010A4"/>
    <w:rsid w:val="00924E24"/>
    <w:rsid w:val="00971AF9"/>
    <w:rsid w:val="00981227"/>
    <w:rsid w:val="009D388F"/>
    <w:rsid w:val="00A13363"/>
    <w:rsid w:val="00A23500"/>
    <w:rsid w:val="00A3177D"/>
    <w:rsid w:val="00A33658"/>
    <w:rsid w:val="00A338C0"/>
    <w:rsid w:val="00A37D84"/>
    <w:rsid w:val="00A55926"/>
    <w:rsid w:val="00A87B8F"/>
    <w:rsid w:val="00AA0712"/>
    <w:rsid w:val="00AA43E9"/>
    <w:rsid w:val="00AC40A4"/>
    <w:rsid w:val="00B16037"/>
    <w:rsid w:val="00B51F00"/>
    <w:rsid w:val="00B65A34"/>
    <w:rsid w:val="00BC6656"/>
    <w:rsid w:val="00BE3487"/>
    <w:rsid w:val="00BE7EA8"/>
    <w:rsid w:val="00C009E2"/>
    <w:rsid w:val="00C02E30"/>
    <w:rsid w:val="00C66C5B"/>
    <w:rsid w:val="00CD2C0D"/>
    <w:rsid w:val="00D01394"/>
    <w:rsid w:val="00D10015"/>
    <w:rsid w:val="00D103AC"/>
    <w:rsid w:val="00D31827"/>
    <w:rsid w:val="00D46F9D"/>
    <w:rsid w:val="00D556C6"/>
    <w:rsid w:val="00D556D1"/>
    <w:rsid w:val="00D627AE"/>
    <w:rsid w:val="00DA3D38"/>
    <w:rsid w:val="00DB04F3"/>
    <w:rsid w:val="00DB26A7"/>
    <w:rsid w:val="00DB592E"/>
    <w:rsid w:val="00DE1ED9"/>
    <w:rsid w:val="00E07F2C"/>
    <w:rsid w:val="00E22301"/>
    <w:rsid w:val="00E5142B"/>
    <w:rsid w:val="00E56A08"/>
    <w:rsid w:val="00E656E1"/>
    <w:rsid w:val="00EA2E9B"/>
    <w:rsid w:val="00EC3720"/>
    <w:rsid w:val="00ED528F"/>
    <w:rsid w:val="00ED602C"/>
    <w:rsid w:val="00EE5F23"/>
    <w:rsid w:val="00EF7610"/>
    <w:rsid w:val="00F40FE1"/>
    <w:rsid w:val="00F51161"/>
    <w:rsid w:val="00F53414"/>
    <w:rsid w:val="00F724A7"/>
    <w:rsid w:val="00FA36A2"/>
    <w:rsid w:val="00FA797F"/>
    <w:rsid w:val="00FC4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9B"/>
  </w:style>
  <w:style w:type="paragraph" w:styleId="2">
    <w:name w:val="heading 2"/>
    <w:basedOn w:val="a"/>
    <w:link w:val="20"/>
    <w:uiPriority w:val="9"/>
    <w:qFormat/>
    <w:rsid w:val="006F2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unhideWhenUsed/>
    <w:rsid w:val="00A338C0"/>
    <w:pPr>
      <w:spacing w:after="0" w:line="240" w:lineRule="auto"/>
      <w:ind w:firstLine="56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338C0"/>
    <w:rPr>
      <w:rFonts w:ascii="Times New Roman" w:eastAsia="Times New Roman" w:hAnsi="Times New Roman" w:cs="Times New Roman"/>
      <w:sz w:val="28"/>
      <w:szCs w:val="20"/>
    </w:rPr>
  </w:style>
  <w:style w:type="paragraph" w:styleId="a6">
    <w:name w:val="List Paragraph"/>
    <w:basedOn w:val="a"/>
    <w:uiPriority w:val="34"/>
    <w:qFormat/>
    <w:rsid w:val="004A518B"/>
    <w:pPr>
      <w:ind w:left="720"/>
      <w:contextualSpacing/>
    </w:pPr>
  </w:style>
  <w:style w:type="paragraph" w:styleId="a7">
    <w:name w:val="Balloon Text"/>
    <w:basedOn w:val="a"/>
    <w:link w:val="a8"/>
    <w:uiPriority w:val="99"/>
    <w:semiHidden/>
    <w:unhideWhenUsed/>
    <w:rsid w:val="00E223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301"/>
    <w:rPr>
      <w:rFonts w:ascii="Tahoma" w:hAnsi="Tahoma" w:cs="Tahoma"/>
      <w:sz w:val="16"/>
      <w:szCs w:val="16"/>
    </w:rPr>
  </w:style>
  <w:style w:type="paragraph" w:customStyle="1" w:styleId="a9">
    <w:name w:val="Нормальный (таблица)"/>
    <w:basedOn w:val="a"/>
    <w:next w:val="a"/>
    <w:uiPriority w:val="99"/>
    <w:rsid w:val="00292C26"/>
    <w:pPr>
      <w:widowControl w:val="0"/>
      <w:autoSpaceDE w:val="0"/>
      <w:autoSpaceDN w:val="0"/>
      <w:adjustRightInd w:val="0"/>
      <w:spacing w:after="0" w:line="240" w:lineRule="auto"/>
      <w:jc w:val="both"/>
    </w:pPr>
    <w:rPr>
      <w:rFonts w:ascii="Arial" w:hAnsi="Arial" w:cs="Arial"/>
      <w:sz w:val="24"/>
      <w:szCs w:val="24"/>
    </w:rPr>
  </w:style>
  <w:style w:type="character" w:customStyle="1" w:styleId="20">
    <w:name w:val="Заголовок 2 Знак"/>
    <w:basedOn w:val="a0"/>
    <w:link w:val="2"/>
    <w:uiPriority w:val="9"/>
    <w:rsid w:val="006F293E"/>
    <w:rPr>
      <w:rFonts w:ascii="Times New Roman" w:eastAsia="Times New Roman" w:hAnsi="Times New Roman" w:cs="Times New Roman"/>
      <w:b/>
      <w:bCs/>
      <w:sz w:val="36"/>
      <w:szCs w:val="36"/>
    </w:rPr>
  </w:style>
  <w:style w:type="paragraph" w:styleId="aa">
    <w:name w:val="Normal (Web)"/>
    <w:basedOn w:val="a"/>
    <w:uiPriority w:val="99"/>
    <w:semiHidden/>
    <w:unhideWhenUsed/>
    <w:rsid w:val="006F29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776842">
      <w:bodyDiv w:val="1"/>
      <w:marLeft w:val="0"/>
      <w:marRight w:val="0"/>
      <w:marTop w:val="0"/>
      <w:marBottom w:val="0"/>
      <w:divBdr>
        <w:top w:val="none" w:sz="0" w:space="0" w:color="auto"/>
        <w:left w:val="none" w:sz="0" w:space="0" w:color="auto"/>
        <w:bottom w:val="none" w:sz="0" w:space="0" w:color="auto"/>
        <w:right w:val="none" w:sz="0" w:space="0" w:color="auto"/>
      </w:divBdr>
    </w:div>
    <w:div w:id="1634477443">
      <w:bodyDiv w:val="1"/>
      <w:marLeft w:val="0"/>
      <w:marRight w:val="0"/>
      <w:marTop w:val="0"/>
      <w:marBottom w:val="0"/>
      <w:divBdr>
        <w:top w:val="none" w:sz="0" w:space="0" w:color="auto"/>
        <w:left w:val="none" w:sz="0" w:space="0" w:color="auto"/>
        <w:bottom w:val="none" w:sz="0" w:space="0" w:color="auto"/>
        <w:right w:val="none" w:sz="0" w:space="0" w:color="auto"/>
      </w:divBdr>
    </w:div>
    <w:div w:id="175986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nilovmr.ru/index.php/component/mailto/?tmpl=component&amp;template=jm-business02&amp;link=c3f8e45e9e77e4b1e678baf9de9216840db341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anilovmr.ru/index.php/metodicheskie-materialy/6988-osnovnye-novelly-v-metodicheskikh-rekomendatsiyakh-po-voprosam-predstavleniya-svedenij-o-dokhodakh-raskhodakh-ob-imushchestve-i-obyazatelstvakh-imushchestvennogo-kharaktera-i-zapolneniya-sootvetstvuyushchej-formy-spravki-v-2020-godu-za-otchetnyj-2019-god?tmpl=component&amp;print=1&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ReBuS</dc:creator>
  <cp:lastModifiedBy>Microsoft</cp:lastModifiedBy>
  <cp:revision>2</cp:revision>
  <cp:lastPrinted>2020-03-11T12:52:00Z</cp:lastPrinted>
  <dcterms:created xsi:type="dcterms:W3CDTF">2020-07-16T12:20:00Z</dcterms:created>
  <dcterms:modified xsi:type="dcterms:W3CDTF">2020-07-16T12:20:00Z</dcterms:modified>
</cp:coreProperties>
</file>